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Calibri" w:cs="Calibri" w:eastAsia="Calibri" w:hAnsi="Calibri"/>
          <w:b/>
          <w:bCs/>
          <w:color w:val="1A1814"/>
          <w:sz w:val="44"/>
          <w:szCs w:val="44"/>
        </w:rPr>
        <w:t xml:space="preserve">AKILI RISK</w:t>
      </w:r>
    </w:p>
    <w:p>
      <w:pPr>
        <w:spacing w:after="200"/>
        <w:jc w:val="left"/>
      </w:pPr>
      <w:r>
        <w:rPr>
          <w:rFonts w:ascii="Calibri" w:cs="Calibri" w:eastAsia="Calibri" w:hAnsi="Calibri"/>
          <w:b/>
          <w:bCs/>
          <w:color w:val="1A1814"/>
          <w:sz w:val="36"/>
          <w:szCs w:val="36"/>
        </w:rPr>
        <w:t xml:space="preserve">For Businesses — Marketing Tab Plan</w:t>
      </w:r>
    </w:p>
    <w:p>
      <w:pPr>
        <w:spacing w:after="400"/>
        <w:jc w:val="left"/>
      </w:pPr>
      <w:r>
        <w:rPr>
          <w:rFonts w:ascii="Calibri" w:cs="Calibri" w:eastAsia="Calibri" w:hAnsi="Calibri"/>
          <w:i/>
          <w:iCs/>
          <w:color w:val="1A1814"/>
          <w:sz w:val="24"/>
          <w:szCs w:val="24"/>
        </w:rPr>
        <w:t xml:space="preserve">A new positioning surface repackaging the Akili methodology for enterprise buyers</w:t>
      </w:r>
    </w:p>
    <w:p>
      <w:pPr>
        <w:pBdr>
          <w:bottom w:val="single" w:color="C9BFA8" w:sz="6" w:space="1"/>
        </w:pBdr>
        <w:spacing w:after="200" w:before="120"/>
      </w:pPr>
      <w:r>
        <w:t xml:space="preserve"/>
      </w:r>
    </w:p>
    <w:p>
      <w:pPr>
        <w:spacing w:after="320" w:before="0" w:line="300"/>
      </w:pPr>
      <w:r>
        <w:rPr>
          <w:rFonts w:ascii="Calibri" w:cs="Calibri" w:eastAsia="Calibri" w:hAnsi="Calibri"/>
          <w:color w:val="1A1814"/>
          <w:sz w:val="22"/>
          <w:szCs w:val="22"/>
        </w:rPr>
        <w:t xml:space="preserve">Product and marketing plan for adding a For Businesses tab to the public site alongside the existing For Families and For Firms surfaces. Covers positioning, page copy, nav placement, three proposed pillar categories, design and implementation notes, and open questions requiring stakeholder input.</w:t>
      </w:r>
    </w:p>
    <w:p>
      <w:pPr>
        <w:spacing w:after="160" w:before="0" w:line="300"/>
      </w:pPr>
      <w:r>
        <w:rPr>
          <w:rFonts w:ascii="Calibri" w:cs="Calibri" w:eastAsia="Calibri" w:hAnsi="Calibri"/>
          <w:b/>
          <w:bCs/>
          <w:color w:val="1A1814"/>
          <w:sz w:val="22"/>
          <w:szCs w:val="22"/>
        </w:rPr>
        <w:t xml:space="preserve">Prepared July 26, 2026</w:t>
      </w:r>
    </w:p>
    <w:p>
      <w:pPr>
        <w:spacing w:after="160" w:before="0" w:line="300"/>
      </w:pPr>
      <w:r>
        <w:rPr>
          <w:rFonts w:ascii="Calibri" w:cs="Calibri" w:eastAsia="Calibri" w:hAnsi="Calibri"/>
          <w:b/>
          <w:bCs/>
          <w:color w:val="1A1814"/>
          <w:sz w:val="22"/>
          <w:szCs w:val="22"/>
        </w:rPr>
        <w:t xml:space="preserve">Version 1.0</w:t>
      </w:r>
    </w:p>
    <w:p>
      <w:pPr>
        <w:spacing w:after="160" w:before="0" w:line="300"/>
      </w:pPr>
      <w:r>
        <w:rPr>
          <w:rFonts w:ascii="Calibri" w:cs="Calibri" w:eastAsia="Calibri" w:hAnsi="Calibri"/>
          <w:i/>
          <w:iCs/>
          <w:color w:val="1A1814"/>
          <w:sz w:val="22"/>
          <w:szCs w:val="22"/>
        </w:rPr>
        <w:t xml:space="preserve">Audience: marketing, product, and engineering stakeholders</w:t>
      </w:r>
    </w:p>
    <w:p>
      <w:r>
        <w:br w:type="page"/>
      </w:r>
    </w:p>
    <w:p>
      <w:pPr>
        <w:spacing w:after="200"/>
      </w:pPr>
      <w:r>
        <w:rPr>
          <w:rFonts w:ascii="Calibri" w:cs="Calibri" w:eastAsia="Calibri" w:hAnsi="Calibri"/>
          <w:b/>
          <w:bCs/>
          <w:color w:val="1A1814"/>
          <w:sz w:val="30"/>
          <w:szCs w:val="30"/>
        </w:rPr>
        <w:t xml:space="preserve">Contents</w:t>
      </w:r>
    </w:p>
    <w:sdt>
      <w:sdtPr>
        <w:alias w:val="Contents"/>
      </w:sdtPr>
      <w:sdtContent>
        <w:p>
          <w:r>
            <w:fldChar w:fldCharType="begin" w:dirty="true"/>
            <w:instrText xml:space="preserve">TOC \h \o "1-3" \t "Heading1,1,Heading2,2"</w:instrText>
            <w:fldChar w:fldCharType="separate"/>
          </w:r>
        </w:p>
        <w:p>
          <w:r>
            <w:fldChar w:fldCharType="end"/>
          </w:r>
        </w:p>
      </w:sdtContent>
    </w:sdt>
    <w:p>
      <w:r>
        <w:br w:type="page"/>
      </w:r>
    </w:p>
    <w:p>
      <w:pPr>
        <w:pStyle w:val="Heading1"/>
        <w:spacing w:after="200" w:before="320"/>
      </w:pPr>
      <w:r>
        <w:rPr>
          <w:rFonts w:ascii="Calibri" w:cs="Calibri" w:eastAsia="Calibri" w:hAnsi="Calibri"/>
          <w:b/>
          <w:bCs/>
          <w:color w:val="1A1814"/>
          <w:sz w:val="30"/>
          <w:szCs w:val="30"/>
        </w:rPr>
        <w:t xml:space="preserve">1. Executive Summary</w:t>
      </w:r>
    </w:p>
    <w:p>
      <w:pPr>
        <w:spacing w:after="180" w:line="320"/>
        <w:jc w:val="both"/>
      </w:pPr>
      <w:r>
        <w:rPr>
          <w:rFonts w:ascii="Calibri" w:cs="Calibri" w:eastAsia="Calibri" w:hAnsi="Calibri"/>
          <w:color w:val="1A1814"/>
          <w:sz w:val="22"/>
          <w:szCs w:val="22"/>
        </w:rPr>
        <w:t xml:space="preserve">Akili Risk today positions primarily as a private wealth and household risk assessment platform. The marketing site has two audience surfaces — For Families and For Firms — and the underlying pillar methodology, scoring, and recommendation engine are all framed around affluent households and the professional firms that serve them. This plan proposes a third audience surface, For Businesses, that repackages the same platform for enterprise buyers whose fundamental problem is the same: cross-domain risk that no single tool sees end-to-end.</w:t>
      </w:r>
    </w:p>
    <w:p>
      <w:pPr>
        <w:spacing w:after="180" w:line="320"/>
        <w:jc w:val="both"/>
      </w:pPr>
      <w:r>
        <w:rPr>
          <w:rFonts w:ascii="Calibri" w:cs="Calibri" w:eastAsia="Calibri" w:hAnsi="Calibri"/>
          <w:color w:val="1A1814"/>
          <w:sz w:val="22"/>
          <w:szCs w:val="22"/>
        </w:rPr>
        <w:t xml:space="preserve">The recommendation is a low-lift launch. No methodology change, no new assessment engine, no new scoring model. The existing ten-pillar catalog maps cleanly onto three enterprise-friendly categories — Operational, Strategic, and Governance — and the existing marketing shell (hero, product preview, how-it-works, outcomes, pricing preview) supports a new audience with only a copy layer and a route addition. Estimated engineering effort is one to two days once copy is approved.</w:t>
      </w:r>
    </w:p>
    <w:p>
      <w:pPr>
        <w:spacing w:after="180" w:line="320"/>
        <w:jc w:val="both"/>
      </w:pPr>
      <w:r>
        <w:rPr>
          <w:rFonts w:ascii="Calibri" w:cs="Calibri" w:eastAsia="Calibri" w:hAnsi="Calibri"/>
          <w:color w:val="1A1814"/>
          <w:sz w:val="22"/>
          <w:szCs w:val="22"/>
        </w:rPr>
        <w:t xml:space="preserve">The larger open question is not implementation. It is which segment of the business market Akili wants to speak to first — mid-market operators, Fortune 1000 CROs and boards, or private-equity portfolio oversight. The recommended default in this document is mid-market to enterprise (companies with a named risk function but without an integrated risk platform), and every open question that depends on that choice is called out explicitly in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6A2F" w:sz="6"/>
              <w:left w:val="single" w:color="8C6A2F" w:sz="6"/>
              <w:bottom w:val="single" w:color="8C6A2F" w:sz="6"/>
              <w:right w:val="single" w:color="8C6A2F" w:sz="6"/>
            </w:tcBorders>
            <w:shd w:fill="F6F1E6" w:color="auto" w:val="clear"/>
            <w:tcMar>
              <w:top w:type="dxa" w:w="200"/>
              <w:left w:type="dxa" w:w="240"/>
              <w:bottom w:type="dxa" w:w="200"/>
              <w:right w:type="dxa" w:w="240"/>
            </w:tcMar>
          </w:tcPr>
          <w:p>
            <w:pPr>
              <w:spacing w:after="100"/>
            </w:pPr>
            <w:r>
              <w:rPr>
                <w:rFonts w:ascii="Calibri" w:cs="Calibri" w:eastAsia="Calibri" w:hAnsi="Calibri"/>
                <w:b/>
                <w:bCs/>
                <w:color w:val="1A1814"/>
                <w:sz w:val="22"/>
                <w:szCs w:val="22"/>
              </w:rPr>
              <w:t xml:space="preserve">The one-sentence pitch</w:t>
            </w:r>
          </w:p>
          <w:p>
            <w:pPr>
              <w:spacing w:after="80" w:line="300"/>
            </w:pPr>
            <w:r>
              <w:rPr>
                <w:rFonts w:ascii="Calibri" w:cs="Calibri" w:eastAsia="Calibri" w:hAnsi="Calibri"/>
                <w:color w:val="1A1814"/>
                <w:sz w:val="22"/>
                <w:szCs w:val="22"/>
              </w:rPr>
              <w:t xml:space="preserve">Most enterprise risk lives in disconnected silos — cyber in one dashboard, insurance in a broker's spreadsheet, ESG in a compliance folder, supply chain in a slide deck for the board.</w:t>
            </w:r>
          </w:p>
          <w:p>
            <w:pPr>
              <w:spacing w:after="80" w:line="300"/>
            </w:pPr>
            <w:r>
              <w:rPr>
                <w:rFonts w:ascii="Calibri" w:cs="Calibri" w:eastAsia="Calibri" w:hAnsi="Calibri"/>
                <w:color w:val="1A1814"/>
                <w:sz w:val="22"/>
                <w:szCs w:val="22"/>
              </w:rPr>
              <w:t xml:space="preserve">Akili is a single assessment that scores all of them on one methodology, prioritizes across them, and produces a defensible board-ready view of where the business is actually exposed.</w:t>
            </w:r>
          </w:p>
        </w:tc>
      </w:tr>
    </w:tbl>
    <w:p>
      <w:pPr>
        <w:pStyle w:val="Heading1"/>
        <w:spacing w:after="200" w:before="320"/>
      </w:pPr>
      <w:r>
        <w:rPr>
          <w:rFonts w:ascii="Calibri" w:cs="Calibri" w:eastAsia="Calibri" w:hAnsi="Calibri"/>
          <w:b/>
          <w:bCs/>
          <w:color w:val="1A1814"/>
          <w:sz w:val="30"/>
          <w:szCs w:val="30"/>
        </w:rPr>
        <w:t xml:space="preserve">2. Positioning and Thesis</w:t>
      </w:r>
    </w:p>
    <w:p>
      <w:pPr>
        <w:spacing w:after="180" w:line="320"/>
        <w:jc w:val="both"/>
      </w:pPr>
      <w:r>
        <w:rPr>
          <w:rFonts w:ascii="Calibri" w:cs="Calibri" w:eastAsia="Calibri" w:hAnsi="Calibri"/>
          <w:color w:val="1A1814"/>
          <w:sz w:val="22"/>
          <w:szCs w:val="22"/>
        </w:rPr>
        <w:t xml:space="preserve">Risk is not siloed, but almost every enterprise tool for assessing it is. A CISO owns cyber. Insurance sits with the broker. Compliance owns regulatory. Supply-chain risk lives in operations. Reputational risk lives with communications. Each of those functions has its own vendor stack, its own vocabulary, and its own reporting cadence, and the person expected to synthesize them — a CRO, a COO, an audit committee chair, a board member — is left to reconcile a stack of dashboards that were never designed to be read together.</w:t>
      </w:r>
    </w:p>
    <w:p>
      <w:pPr>
        <w:spacing w:after="180" w:line="320"/>
        <w:jc w:val="both"/>
      </w:pPr>
      <w:r>
        <w:rPr>
          <w:rFonts w:ascii="Calibri" w:cs="Calibri" w:eastAsia="Calibri" w:hAnsi="Calibri"/>
          <w:color w:val="1A1814"/>
          <w:sz w:val="22"/>
          <w:szCs w:val="22"/>
        </w:rPr>
        <w:t xml:space="preserve">Akili's thesis is that the synthesis is the product. The same structured assessment methodology that lets a wealth advisor score a household across governance, cyber, physical, insurance, geographic, and reputational risk is the methodology an enterprise needs — because the enterprise problem is not that any one domain is under-instrumented, it is that no one is instrumenting the boundaries between them. A cyber breach with reputational fallout that triggers a regulatory action and an insurance dispute is not four risks; it is one, and it can only be scored, prioritized, and communicated as one.</w:t>
      </w:r>
    </w:p>
    <w:p>
      <w:pPr>
        <w:spacing w:after="180" w:line="320"/>
        <w:jc w:val="both"/>
      </w:pPr>
      <w:r>
        <w:rPr>
          <w:rFonts w:ascii="Calibri" w:cs="Calibri" w:eastAsia="Calibri" w:hAnsi="Calibri"/>
          <w:color w:val="1A1814"/>
          <w:sz w:val="22"/>
          <w:szCs w:val="22"/>
        </w:rPr>
        <w:t xml:space="preserve">The For Businesses tab does not sell a new product. It sells the same product with a different frame — unified, cross-domain risk assessment for organizations, presented in the vocabulary that a risk executive uses when they explain their job to their board.</w:t>
      </w:r>
    </w:p>
    <w:p>
      <w:pPr>
        <w:pStyle w:val="Heading1"/>
        <w:spacing w:after="200" w:before="320"/>
      </w:pPr>
      <w:r>
        <w:rPr>
          <w:rFonts w:ascii="Calibri" w:cs="Calibri" w:eastAsia="Calibri" w:hAnsi="Calibri"/>
          <w:b/>
          <w:bCs/>
          <w:color w:val="1A1814"/>
          <w:sz w:val="30"/>
          <w:szCs w:val="30"/>
        </w:rPr>
        <w:t xml:space="preserve">3. Audience</w:t>
      </w:r>
    </w:p>
    <w:p>
      <w:pPr>
        <w:pStyle w:val="Heading2"/>
        <w:spacing w:after="140" w:before="260"/>
      </w:pPr>
      <w:r>
        <w:rPr>
          <w:rFonts w:ascii="Calibri" w:cs="Calibri" w:eastAsia="Calibri" w:hAnsi="Calibri"/>
          <w:b/>
          <w:bCs/>
          <w:color w:val="1A1814"/>
          <w:sz w:val="26"/>
          <w:szCs w:val="26"/>
        </w:rPr>
        <w:t xml:space="preserve">3.1 Recommended primary audience</w:t>
      </w:r>
    </w:p>
    <w:p>
      <w:pPr>
        <w:spacing w:after="180" w:line="320"/>
        <w:jc w:val="both"/>
      </w:pPr>
      <w:r>
        <w:rPr>
          <w:rFonts w:ascii="Calibri" w:cs="Calibri" w:eastAsia="Calibri" w:hAnsi="Calibri"/>
          <w:color w:val="1A1814"/>
          <w:sz w:val="22"/>
          <w:szCs w:val="22"/>
        </w:rPr>
        <w:t xml:space="preserve">Mid-market to enterprise organizations (roughly 500 to 10,000 employees, or Fortune 1000-adjacent) with a named risk function but without an integrated risk-assessment platform. In practice that means Chief Risk Officers, VPs of Risk or Enterprise Risk Management, Chief Operating Officers, General Counsel with risk responsibilities, audit-committee chairs, and — one level down — the risk analysts and internal-audit leads who actually assemble the deliverables.</w:t>
      </w:r>
    </w:p>
    <w:p>
      <w:pPr>
        <w:spacing w:after="180" w:line="320"/>
        <w:jc w:val="both"/>
      </w:pPr>
      <w:r>
        <w:rPr>
          <w:rFonts w:ascii="Calibri" w:cs="Calibri" w:eastAsia="Calibri" w:hAnsi="Calibri"/>
          <w:color w:val="1A1814"/>
          <w:sz w:val="22"/>
          <w:szCs w:val="22"/>
        </w:rPr>
        <w:t xml:space="preserve">This audience has budget authority, an existing risk process to compare Akili against, and a recurring board-reporting obligation that Akili's cross-domain output maps onto naturally. It is also the audience whose language most closely mirrors the platform's existing pillar vocabulary — governance, controls, exposure, prioritization — which means the marketing tab can be written without a full re-education of the buyer.</w:t>
      </w:r>
    </w:p>
    <w:p>
      <w:pPr>
        <w:pStyle w:val="Heading2"/>
        <w:spacing w:after="140" w:before="260"/>
      </w:pPr>
      <w:r>
        <w:rPr>
          <w:rFonts w:ascii="Calibri" w:cs="Calibri" w:eastAsia="Calibri" w:hAnsi="Calibri"/>
          <w:b/>
          <w:bCs/>
          <w:color w:val="1A1814"/>
          <w:sz w:val="26"/>
          <w:szCs w:val="26"/>
        </w:rPr>
        <w:t xml:space="preserve">3.2 Secondary audiences (worth naming, not centering)</w:t>
      </w:r>
    </w:p>
    <w:p>
      <w:pPr>
        <w:pStyle w:val="ListParagraph"/>
        <w:numPr>
          <w:ilvl w:val="0"/>
          <w:numId w:val="2"/>
        </w:numPr>
        <w:spacing w:after="100" w:line="300"/>
      </w:pPr>
      <w:r>
        <w:rPr>
          <w:rFonts w:ascii="Calibri" w:cs="Calibri" w:eastAsia="Calibri" w:hAnsi="Calibri"/>
          <w:color w:val="1A1814"/>
          <w:sz w:val="22"/>
          <w:szCs w:val="22"/>
        </w:rPr>
        <w:t xml:space="preserve">Private-equity firms doing risk oversight across a portfolio. One assessment methodology applied to every portfolio company, comparable board packs, one platform for the operating partners.</w:t>
      </w:r>
    </w:p>
    <w:p>
      <w:pPr>
        <w:pStyle w:val="ListParagraph"/>
        <w:numPr>
          <w:ilvl w:val="0"/>
          <w:numId w:val="2"/>
        </w:numPr>
        <w:spacing w:after="100" w:line="300"/>
      </w:pPr>
      <w:r>
        <w:rPr>
          <w:rFonts w:ascii="Calibri" w:cs="Calibri" w:eastAsia="Calibri" w:hAnsi="Calibri"/>
          <w:color w:val="1A1814"/>
          <w:sz w:val="22"/>
          <w:szCs w:val="22"/>
        </w:rPr>
        <w:t xml:space="preserve">Insurance brokers offering risk-audit services to commercial clients. Akili becomes a productized deliverable that differentiates the broker without requiring them to hire risk analysts.</w:t>
      </w:r>
    </w:p>
    <w:p>
      <w:pPr>
        <w:pStyle w:val="ListParagraph"/>
        <w:numPr>
          <w:ilvl w:val="0"/>
          <w:numId w:val="2"/>
        </w:numPr>
        <w:spacing w:after="100" w:line="300"/>
      </w:pPr>
      <w:r>
        <w:rPr>
          <w:rFonts w:ascii="Calibri" w:cs="Calibri" w:eastAsia="Calibri" w:hAnsi="Calibri"/>
          <w:color w:val="1A1814"/>
          <w:sz w:val="22"/>
          <w:szCs w:val="22"/>
        </w:rPr>
        <w:t xml:space="preserve">Management consultancies offering risk-and-controls advisory. Same shape as the broker use case — a structured, defensible methodology they can put underneath a client engagement.</w:t>
      </w:r>
    </w:p>
    <w:p>
      <w:pPr>
        <w:pStyle w:val="Heading2"/>
        <w:spacing w:after="140" w:before="260"/>
      </w:pPr>
      <w:r>
        <w:rPr>
          <w:rFonts w:ascii="Calibri" w:cs="Calibri" w:eastAsia="Calibri" w:hAnsi="Calibri"/>
          <w:b/>
          <w:bCs/>
          <w:color w:val="1A1814"/>
          <w:sz w:val="26"/>
          <w:szCs w:val="26"/>
        </w:rPr>
        <w:t xml:space="preserve">3.3 Explicitly deferred</w:t>
      </w:r>
    </w:p>
    <w:p>
      <w:pPr>
        <w:spacing w:after="180" w:line="320"/>
        <w:jc w:val="both"/>
      </w:pPr>
      <w:r>
        <w:rPr>
          <w:rFonts w:ascii="Calibri" w:cs="Calibri" w:eastAsia="Calibri" w:hAnsi="Calibri"/>
          <w:color w:val="1A1814"/>
          <w:sz w:val="22"/>
          <w:szCs w:val="22"/>
        </w:rPr>
        <w:t xml:space="preserve">Small business and micro-business framing is out of scope for this tab. The tone, price point, and buyer motion for a five-person business owner are meaningfully different from the mid-market and enterprise audience above, and trying to speak to both from the same page dilutes both. If Akili later decides SMB is a real market, it deserves its own surface. This is called out again as an open question in Section 9.</w:t>
      </w:r>
    </w:p>
    <w:p>
      <w:pPr>
        <w:pStyle w:val="Heading1"/>
        <w:spacing w:after="200" w:before="320"/>
      </w:pPr>
      <w:r>
        <w:rPr>
          <w:rFonts w:ascii="Calibri" w:cs="Calibri" w:eastAsia="Calibri" w:hAnsi="Calibri"/>
          <w:b/>
          <w:bCs/>
          <w:color w:val="1A1814"/>
          <w:sz w:val="30"/>
          <w:szCs w:val="30"/>
        </w:rPr>
        <w:t xml:space="preserve">4. Nav Placement</w:t>
      </w:r>
    </w:p>
    <w:p>
      <w:pPr>
        <w:spacing w:after="180" w:line="320"/>
        <w:jc w:val="both"/>
      </w:pPr>
      <w:r>
        <w:rPr>
          <w:rFonts w:ascii="Calibri" w:cs="Calibri" w:eastAsia="Calibri" w:hAnsi="Calibri"/>
          <w:color w:val="1A1814"/>
          <w:sz w:val="22"/>
          <w:szCs w:val="22"/>
        </w:rPr>
        <w:t xml:space="preserve">The current marketing header has three audience tabs — Families, Firms, How It Works — plus primary links to Docs, Pricing, and About. The audience tabs are backed by a HeroAudience union ("families" | "advisors" | "overview") in src/components/home/hero/hero-audience-content.ts and rendered by SITE_AUDIENCE_NAV in src/lib/marketing/site-nav.ts. Each audience has its own top-level route (/families, /firms) that renders the shared HomePageContent shell with a different initialAudience.</w:t>
      </w:r>
    </w:p>
    <w:p>
      <w:pPr>
        <w:spacing w:after="180" w:line="320"/>
        <w:jc w:val="both"/>
      </w:pPr>
      <w:r>
        <w:rPr>
          <w:rFonts w:ascii="Calibri" w:cs="Calibri" w:eastAsia="Calibri" w:hAnsi="Calibri"/>
          <w:color w:val="1A1814"/>
          <w:sz w:val="22"/>
          <w:szCs w:val="22"/>
        </w:rPr>
        <w:t xml:space="preserve">The clean fit is a fourth audience — "businesses" — with a matching /businesses route. That places For Businesses on equal footing with For Families and For Firms in the header, uses the same tabbed hero UI on the homepage, and reuses the entire HomePageContent shell (LandingHero, LandingProductPreview, LandingHowItWorks, LandingOutcomesSection, LandingPricingPreview) with a businesses-specific copy variant.</w:t>
      </w:r>
    </w:p>
    <w:p>
      <w:pPr>
        <w:pStyle w:val="Heading3"/>
        <w:spacing w:after="100" w:before="200"/>
      </w:pPr>
      <w:r>
        <w:rPr>
          <w:rFonts w:ascii="Calibri" w:cs="Calibri" w:eastAsia="Calibri" w:hAnsi="Calibri"/>
          <w:b/>
          <w:bCs/>
          <w:i w:val="false"/>
          <w:iCs w:val="false"/>
          <w:color w:val="1A1814"/>
          <w:sz w:val="22"/>
          <w:szCs w:val="22"/>
        </w:rPr>
        <w:t xml:space="preserve">Recommended header order</w:t>
      </w:r>
    </w:p>
    <w:p>
      <w:pPr>
        <w:pStyle w:val="ListParagraph"/>
        <w:numPr>
          <w:ilvl w:val="0"/>
          <w:numId w:val="2"/>
        </w:numPr>
        <w:spacing w:after="100" w:line="300"/>
      </w:pPr>
      <w:r>
        <w:rPr>
          <w:rFonts w:ascii="Calibri" w:cs="Calibri" w:eastAsia="Calibri" w:hAnsi="Calibri"/>
          <w:color w:val="1A1814"/>
          <w:sz w:val="22"/>
          <w:szCs w:val="22"/>
        </w:rPr>
        <w:t xml:space="preserve">Families</w:t>
      </w:r>
    </w:p>
    <w:p>
      <w:pPr>
        <w:pStyle w:val="ListParagraph"/>
        <w:numPr>
          <w:ilvl w:val="0"/>
          <w:numId w:val="2"/>
        </w:numPr>
        <w:spacing w:after="100" w:line="300"/>
      </w:pPr>
      <w:r>
        <w:rPr>
          <w:rFonts w:ascii="Calibri" w:cs="Calibri" w:eastAsia="Calibri" w:hAnsi="Calibri"/>
          <w:color w:val="1A1814"/>
          <w:sz w:val="22"/>
          <w:szCs w:val="22"/>
        </w:rPr>
        <w:t xml:space="preserve">Firms</w:t>
      </w:r>
    </w:p>
    <w:p>
      <w:pPr>
        <w:pStyle w:val="ListParagraph"/>
        <w:numPr>
          <w:ilvl w:val="0"/>
          <w:numId w:val="2"/>
        </w:numPr>
        <w:spacing w:after="100" w:line="300"/>
      </w:pPr>
      <w:r>
        <w:rPr>
          <w:rFonts w:ascii="Calibri" w:cs="Calibri" w:eastAsia="Calibri" w:hAnsi="Calibri"/>
          <w:color w:val="1A1814"/>
          <w:sz w:val="22"/>
          <w:szCs w:val="22"/>
        </w:rPr>
        <w:t xml:space="preserve">Businesses  ← new</w:t>
      </w:r>
    </w:p>
    <w:p>
      <w:pPr>
        <w:pStyle w:val="ListParagraph"/>
        <w:numPr>
          <w:ilvl w:val="0"/>
          <w:numId w:val="2"/>
        </w:numPr>
        <w:spacing w:after="100" w:line="300"/>
      </w:pPr>
      <w:r>
        <w:rPr>
          <w:rFonts w:ascii="Calibri" w:cs="Calibri" w:eastAsia="Calibri" w:hAnsi="Calibri"/>
          <w:color w:val="1A1814"/>
          <w:sz w:val="22"/>
          <w:szCs w:val="22"/>
        </w:rPr>
        <w:t xml:space="preserve">How It Works</w:t>
      </w:r>
    </w:p>
    <w:p>
      <w:pPr>
        <w:spacing w:after="180" w:line="320"/>
        <w:jc w:val="both"/>
      </w:pPr>
      <w:r>
        <w:rPr>
          <w:rFonts w:ascii="Calibri" w:cs="Calibri" w:eastAsia="Calibri" w:hAnsi="Calibri"/>
          <w:color w:val="1A1814"/>
          <w:sz w:val="22"/>
          <w:szCs w:val="22"/>
        </w:rPr>
        <w:t xml:space="preserve">Businesses sits third rather than first because Families and Firms are the established revenue surfaces; Businesses is a new positioning bet that we want to test without displacing the existing traffic patterns. If early data shows business inquiries dominate, the order can be swapped without any structural change.</w:t>
      </w:r>
    </w:p>
    <w:p>
      <w:pPr>
        <w:pStyle w:val="Heading3"/>
        <w:spacing w:after="100" w:before="200"/>
      </w:pPr>
      <w:r>
        <w:rPr>
          <w:rFonts w:ascii="Calibri" w:cs="Calibri" w:eastAsia="Calibri" w:hAnsi="Calibri"/>
          <w:b/>
          <w:bCs/>
          <w:i w:val="false"/>
          <w:iCs w:val="false"/>
          <w:color w:val="1A1814"/>
          <w:sz w:val="22"/>
          <w:szCs w:val="22"/>
        </w:rPr>
        <w:t xml:space="preserve">Alternative rejected: adding it as a section on the homepage</w:t>
      </w:r>
    </w:p>
    <w:p>
      <w:pPr>
        <w:spacing w:after="180" w:line="320"/>
        <w:jc w:val="both"/>
      </w:pPr>
      <w:r>
        <w:rPr>
          <w:rFonts w:ascii="Calibri" w:cs="Calibri" w:eastAsia="Calibri" w:hAnsi="Calibri"/>
          <w:color w:val="1A1814"/>
          <w:sz w:val="22"/>
          <w:szCs w:val="22"/>
        </w:rPr>
        <w:t xml:space="preserve">A section-on-the-homepage placement was considered and rejected. The existing hero already uses tabs to switch audience framing; adding a fourth tab is consistent. Bolting a separate "For Businesses" section onto the homepage, below the existing content, would break the tabbed pattern and force every visitor — including families and firms — to scroll past enterprise pitch copy that is not aimed at them.</w:t>
      </w:r>
    </w:p>
    <w:p>
      <w:pPr>
        <w:pStyle w:val="Heading1"/>
        <w:spacing w:after="200" w:before="320"/>
      </w:pPr>
      <w:r>
        <w:rPr>
          <w:rFonts w:ascii="Calibri" w:cs="Calibri" w:eastAsia="Calibri" w:hAnsi="Calibri"/>
          <w:b/>
          <w:bCs/>
          <w:color w:val="1A1814"/>
          <w:sz w:val="30"/>
          <w:szCs w:val="30"/>
        </w:rPr>
        <w:t xml:space="preserve">5. Page Content Structure</w:t>
      </w:r>
    </w:p>
    <w:p>
      <w:pPr>
        <w:spacing w:after="180" w:line="320"/>
        <w:jc w:val="both"/>
      </w:pPr>
      <w:r>
        <w:rPr>
          <w:rFonts w:ascii="Calibri" w:cs="Calibri" w:eastAsia="Calibri" w:hAnsi="Calibri"/>
          <w:color w:val="1A1814"/>
          <w:sz w:val="22"/>
          <w:szCs w:val="22"/>
        </w:rPr>
        <w:t xml:space="preserve">This section proposes real copy, not lorem ipsum, for each part of the /businesses surface. Copy is intended to be usable as-is or as a starting draft — every string is meant to sound like Akili, not like a placeholder.</w:t>
      </w:r>
    </w:p>
    <w:p>
      <w:pPr>
        <w:pStyle w:val="Heading2"/>
        <w:spacing w:after="140" w:before="260"/>
      </w:pPr>
      <w:r>
        <w:rPr>
          <w:rFonts w:ascii="Calibri" w:cs="Calibri" w:eastAsia="Calibri" w:hAnsi="Calibri"/>
          <w:b/>
          <w:bCs/>
          <w:color w:val="1A1814"/>
          <w:sz w:val="26"/>
          <w:szCs w:val="26"/>
        </w:rPr>
        <w:t xml:space="preserve">5.1 Hero</w:t>
      </w:r>
    </w:p>
    <w:p>
      <w:pPr>
        <w:spacing w:after="160" w:before="0" w:line="300"/>
      </w:pPr>
      <w:r>
        <w:rPr>
          <w:rFonts w:ascii="Calibri" w:cs="Calibri" w:eastAsia="Calibri" w:hAnsi="Calibri"/>
          <w:b/>
          <w:bCs/>
          <w:color w:val="1A1814"/>
          <w:sz w:val="22"/>
          <w:szCs w:val="22"/>
        </w:rPr>
        <w:t xml:space="preserve">Kicker:</w:t>
      </w:r>
    </w:p>
    <w:p>
      <w:pPr>
        <w:spacing w:after="180" w:line="320"/>
        <w:jc w:val="both"/>
      </w:pPr>
      <w:r>
        <w:rPr>
          <w:rFonts w:ascii="Calibri" w:cs="Calibri" w:eastAsia="Calibri" w:hAnsi="Calibri"/>
          <w:color w:val="1A1814"/>
          <w:sz w:val="22"/>
          <w:szCs w:val="22"/>
        </w:rPr>
        <w:t xml:space="preserve">For businesses</w:t>
      </w:r>
    </w:p>
    <w:p>
      <w:pPr>
        <w:spacing w:after="160" w:before="0" w:line="300"/>
      </w:pPr>
      <w:r>
        <w:rPr>
          <w:rFonts w:ascii="Calibri" w:cs="Calibri" w:eastAsia="Calibri" w:hAnsi="Calibri"/>
          <w:b/>
          <w:bCs/>
          <w:color w:val="1A1814"/>
          <w:sz w:val="22"/>
          <w:szCs w:val="22"/>
        </w:rPr>
        <w:t xml:space="preserve">Headline:</w:t>
      </w:r>
    </w:p>
    <w:p>
      <w:pPr>
        <w:spacing w:after="180" w:line="320"/>
        <w:jc w:val="both"/>
      </w:pPr>
      <w:r>
        <w:rPr>
          <w:rFonts w:ascii="Calibri" w:cs="Calibri" w:eastAsia="Calibri" w:hAnsi="Calibri"/>
          <w:color w:val="1A1814"/>
          <w:sz w:val="22"/>
          <w:szCs w:val="22"/>
        </w:rPr>
        <w:t xml:space="preserve">One assessment for every risk your business actually runs.</w:t>
      </w:r>
    </w:p>
    <w:p>
      <w:pPr>
        <w:spacing w:after="160" w:before="0" w:line="300"/>
      </w:pPr>
      <w:r>
        <w:rPr>
          <w:rFonts w:ascii="Calibri" w:cs="Calibri" w:eastAsia="Calibri" w:hAnsi="Calibri"/>
          <w:b/>
          <w:bCs/>
          <w:color w:val="1A1814"/>
          <w:sz w:val="22"/>
          <w:szCs w:val="22"/>
        </w:rPr>
        <w:t xml:space="preserve">Subhead:</w:t>
      </w:r>
    </w:p>
    <w:p>
      <w:pPr>
        <w:spacing w:after="180" w:line="320"/>
        <w:jc w:val="both"/>
      </w:pPr>
      <w:r>
        <w:rPr>
          <w:rFonts w:ascii="Calibri" w:cs="Calibri" w:eastAsia="Calibri" w:hAnsi="Calibri"/>
          <w:color w:val="1A1814"/>
          <w:sz w:val="22"/>
          <w:szCs w:val="22"/>
        </w:rPr>
        <w:t xml:space="preserve">Cyber, financial, operational, regulatory, reputational, supply chain — scored on one methodology, prioritized against each other, and delivered as a single board-ready view.</w:t>
      </w:r>
    </w:p>
    <w:p>
      <w:pPr>
        <w:spacing w:after="160" w:before="0" w:line="300"/>
      </w:pPr>
      <w:r>
        <w:rPr>
          <w:rFonts w:ascii="Calibri" w:cs="Calibri" w:eastAsia="Calibri" w:hAnsi="Calibri"/>
          <w:b/>
          <w:bCs/>
          <w:color w:val="1A1814"/>
          <w:sz w:val="22"/>
          <w:szCs w:val="22"/>
        </w:rPr>
        <w:t xml:space="preserve">Primary CTA:</w:t>
      </w:r>
    </w:p>
    <w:p>
      <w:pPr>
        <w:spacing w:after="180" w:line="320"/>
        <w:jc w:val="both"/>
      </w:pPr>
      <w:r>
        <w:rPr>
          <w:rFonts w:ascii="Calibri" w:cs="Calibri" w:eastAsia="Calibri" w:hAnsi="Calibri"/>
          <w:color w:val="1A1814"/>
          <w:sz w:val="22"/>
          <w:szCs w:val="22"/>
        </w:rPr>
        <w:t xml:space="preserve">Request a demo → /contact/demo (existing route)</w:t>
      </w:r>
    </w:p>
    <w:p>
      <w:pPr>
        <w:spacing w:after="160" w:before="0" w:line="300"/>
      </w:pPr>
      <w:r>
        <w:rPr>
          <w:rFonts w:ascii="Calibri" w:cs="Calibri" w:eastAsia="Calibri" w:hAnsi="Calibri"/>
          <w:b/>
          <w:bCs/>
          <w:color w:val="1A1814"/>
          <w:sz w:val="22"/>
          <w:szCs w:val="22"/>
        </w:rPr>
        <w:t xml:space="preserve">Secondary CTA:</w:t>
      </w:r>
    </w:p>
    <w:p>
      <w:pPr>
        <w:spacing w:after="180" w:line="320"/>
        <w:jc w:val="both"/>
      </w:pPr>
      <w:r>
        <w:rPr>
          <w:rFonts w:ascii="Calibri" w:cs="Calibri" w:eastAsia="Calibri" w:hAnsi="Calibri"/>
          <w:color w:val="1A1814"/>
          <w:sz w:val="22"/>
          <w:szCs w:val="22"/>
        </w:rPr>
        <w:t xml:space="preserve">See how it works → anchors to §5.5 (How it works)</w:t>
      </w:r>
    </w:p>
    <w:p>
      <w:pPr>
        <w:pStyle w:val="Heading2"/>
        <w:spacing w:after="140" w:before="260"/>
      </w:pPr>
      <w:r>
        <w:rPr>
          <w:rFonts w:ascii="Calibri" w:cs="Calibri" w:eastAsia="Calibri" w:hAnsi="Calibri"/>
          <w:b/>
          <w:bCs/>
          <w:color w:val="1A1814"/>
          <w:sz w:val="26"/>
          <w:szCs w:val="26"/>
        </w:rPr>
        <w:t xml:space="preserve">5.2 The problem</w:t>
      </w:r>
    </w:p>
    <w:p>
      <w:pPr>
        <w:spacing w:after="180" w:line="320"/>
        <w:jc w:val="both"/>
      </w:pPr>
      <w:r>
        <w:rPr>
          <w:rFonts w:ascii="Calibri" w:cs="Calibri" w:eastAsia="Calibri" w:hAnsi="Calibri"/>
          <w:color w:val="1A1814"/>
          <w:sz w:val="22"/>
          <w:szCs w:val="22"/>
        </w:rPr>
        <w:t xml:space="preserve">Enterprise risk is measured in silos and reported in aggregate, and the gap between those two is where every material surprise lives. A CISO's dashboard scores cyber posture; it does not tell you whether the same incident would trigger a regulatory disclosure, a reputational hit, or an insurance coverage dispute. A broker's insurance review scores coverage; it does not tell you whether the underlying exposure has grown faster than the policy limit. A compliance calendar tracks obligations; it does not tell you whether the controls behind those obligations are actually operating.</w:t>
      </w:r>
    </w:p>
    <w:p>
      <w:pPr>
        <w:spacing w:after="180" w:line="320"/>
        <w:jc w:val="both"/>
      </w:pPr>
      <w:r>
        <w:rPr>
          <w:rFonts w:ascii="Calibri" w:cs="Calibri" w:eastAsia="Calibri" w:hAnsi="Calibri"/>
          <w:color w:val="1A1814"/>
          <w:sz w:val="22"/>
          <w:szCs w:val="22"/>
        </w:rPr>
        <w:t xml:space="preserve">The consequence is not that any single domain is under-invested. The consequence is that leadership is expected to synthesize a picture of enterprise risk from tools that were never designed to be read together, and to defend that synthesis to a board that reasonably assumes someone, somewhere, is looking at the whole thing.</w:t>
      </w:r>
    </w:p>
    <w:p>
      <w:pPr>
        <w:spacing w:after="180" w:line="320"/>
        <w:jc w:val="both"/>
      </w:pPr>
      <w:r>
        <w:rPr>
          <w:rFonts w:ascii="Calibri" w:cs="Calibri" w:eastAsia="Calibri" w:hAnsi="Calibri"/>
          <w:color w:val="1A1814"/>
          <w:sz w:val="22"/>
          <w:szCs w:val="22"/>
        </w:rPr>
        <w:t xml:space="preserve">That job — looking at the whole thing on one methodology — is the job Akili does.</w:t>
      </w:r>
    </w:p>
    <w:p>
      <w:pPr>
        <w:pStyle w:val="Heading2"/>
        <w:spacing w:after="140" w:before="260"/>
      </w:pPr>
      <w:r>
        <w:rPr>
          <w:rFonts w:ascii="Calibri" w:cs="Calibri" w:eastAsia="Calibri" w:hAnsi="Calibri"/>
          <w:b/>
          <w:bCs/>
          <w:color w:val="1A1814"/>
          <w:sz w:val="26"/>
          <w:szCs w:val="26"/>
        </w:rPr>
        <w:t xml:space="preserve">5.3 The Akili approach</w:t>
      </w:r>
    </w:p>
    <w:p>
      <w:pPr>
        <w:spacing w:after="180" w:line="320"/>
        <w:jc w:val="both"/>
      </w:pPr>
      <w:r>
        <w:rPr>
          <w:rFonts w:ascii="Calibri" w:cs="Calibri" w:eastAsia="Calibri" w:hAnsi="Calibri"/>
          <w:color w:val="1A1814"/>
          <w:sz w:val="22"/>
          <w:szCs w:val="22"/>
        </w:rPr>
        <w:t xml:space="preserve">Akili is a single structured assessment across every domain of enterprise risk that matters. The methodology is shared across all domains, so scores are directly comparable: a cyber score of 62 and a regulatory score of 62 mean the same thing about the maturity of controls, not different things dressed up in the same number. Recommendations are prioritized across pillars — the platform tells you where the highest-marginal-return action is, not just where each domain would like more budget.</w:t>
      </w:r>
    </w:p>
    <w:p>
      <w:pPr>
        <w:spacing w:after="180" w:line="320"/>
        <w:jc w:val="both"/>
      </w:pPr>
      <w:r>
        <w:rPr>
          <w:rFonts w:ascii="Calibri" w:cs="Calibri" w:eastAsia="Calibri" w:hAnsi="Calibri"/>
          <w:color w:val="1A1814"/>
          <w:sz w:val="22"/>
          <w:szCs w:val="22"/>
        </w:rPr>
        <w:t xml:space="preserve">For a risk executive, the deliverable is a defensible, board-ready view of enterprise exposure that was produced by one process, not stitched together from six vendors' PDFs. For a board, it is the first document that lets them ask questions across risk domains without switching tabs. For an internal auditor, it is an evidence trail that shows how a score was reached and what a change in a specific control would do to it.</w:t>
      </w:r>
    </w:p>
    <w:p>
      <w:pPr>
        <w:pStyle w:val="Heading2"/>
        <w:spacing w:after="140" w:before="260"/>
      </w:pPr>
      <w:r>
        <w:rPr>
          <w:rFonts w:ascii="Calibri" w:cs="Calibri" w:eastAsia="Calibri" w:hAnsi="Calibri"/>
          <w:b/>
          <w:bCs/>
          <w:color w:val="1A1814"/>
          <w:sz w:val="26"/>
          <w:szCs w:val="26"/>
        </w:rPr>
        <w:t xml:space="preserve">5.4 The three pillar categories</w:t>
      </w:r>
    </w:p>
    <w:p>
      <w:pPr>
        <w:spacing w:after="180" w:line="320"/>
        <w:jc w:val="both"/>
      </w:pPr>
      <w:r>
        <w:rPr>
          <w:rFonts w:ascii="Calibri" w:cs="Calibri" w:eastAsia="Calibri" w:hAnsi="Calibri"/>
          <w:color w:val="1A1814"/>
          <w:sz w:val="22"/>
          <w:szCs w:val="22"/>
        </w:rPr>
        <w:t xml:space="preserve">Akili's ten-pillar catalog is unchanged for business buyers. What changes is the grouping — enterprise risk teams do not think in "family governance" or "tax exposure," they think in Operational, Strategic, and Governance risk. The proposed three-category structure preserves the underlying methodology while presenting the platform in the vocabulary the buyer already uses.</w:t>
      </w:r>
    </w:p>
    <w:p>
      <w:pPr>
        <w:pStyle w:val="Heading3"/>
        <w:spacing w:after="100" w:before="200"/>
      </w:pPr>
      <w:r>
        <w:rPr>
          <w:rFonts w:ascii="Calibri" w:cs="Calibri" w:eastAsia="Calibri" w:hAnsi="Calibri"/>
          <w:b/>
          <w:bCs/>
          <w:i w:val="false"/>
          <w:iCs w:val="false"/>
          <w:color w:val="1A1814"/>
          <w:sz w:val="22"/>
          <w:szCs w:val="22"/>
        </w:rPr>
        <w:t xml:space="preserve">Operational Risk</w:t>
      </w:r>
    </w:p>
    <w:p>
      <w:pPr>
        <w:spacing w:after="180" w:line="320"/>
        <w:jc w:val="both"/>
      </w:pPr>
      <w:r>
        <w:rPr>
          <w:rFonts w:ascii="Calibri" w:cs="Calibri" w:eastAsia="Calibri" w:hAnsi="Calibri"/>
          <w:color w:val="1A1814"/>
          <w:sz w:val="22"/>
          <w:szCs w:val="22"/>
        </w:rPr>
        <w:t xml:space="preserve">The risks that would interrupt the business if something in the day-to-day machinery failed. This is where cyber incidents, physical incidents, IT outages, supply-chain disruption, and coverage gaps live. It is the category most enterprises measure best in isolation and worst in aggregate.</w:t>
      </w:r>
    </w:p>
    <w:p>
      <w:pPr>
        <w:pStyle w:val="ListParagraph"/>
        <w:numPr>
          <w:ilvl w:val="0"/>
          <w:numId w:val="2"/>
        </w:numPr>
        <w:spacing w:after="100" w:line="300"/>
      </w:pPr>
      <w:r>
        <w:rPr>
          <w:rFonts w:ascii="Calibri" w:cs="Calibri" w:eastAsia="Calibri" w:hAnsi="Calibri"/>
          <w:color w:val="1A1814"/>
          <w:sz w:val="22"/>
          <w:szCs w:val="22"/>
        </w:rPr>
        <w:t xml:space="preserve">Cyber security — controls maturity, attack surface, incident readiness</w:t>
      </w:r>
    </w:p>
    <w:p>
      <w:pPr>
        <w:pStyle w:val="ListParagraph"/>
        <w:numPr>
          <w:ilvl w:val="0"/>
          <w:numId w:val="2"/>
        </w:numPr>
        <w:spacing w:after="100" w:line="300"/>
      </w:pPr>
      <w:r>
        <w:rPr>
          <w:rFonts w:ascii="Calibri" w:cs="Calibri" w:eastAsia="Calibri" w:hAnsi="Calibri"/>
          <w:color w:val="1A1814"/>
          <w:sz w:val="22"/>
          <w:szCs w:val="22"/>
        </w:rPr>
        <w:t xml:space="preserve">Physical security — facilities, executive protection, travel</w:t>
      </w:r>
    </w:p>
    <w:p>
      <w:pPr>
        <w:pStyle w:val="ListParagraph"/>
        <w:numPr>
          <w:ilvl w:val="0"/>
          <w:numId w:val="2"/>
        </w:numPr>
        <w:spacing w:after="100" w:line="300"/>
      </w:pPr>
      <w:r>
        <w:rPr>
          <w:rFonts w:ascii="Calibri" w:cs="Calibri" w:eastAsia="Calibri" w:hAnsi="Calibri"/>
          <w:color w:val="1A1814"/>
          <w:sz w:val="22"/>
          <w:szCs w:val="22"/>
        </w:rPr>
        <w:t xml:space="preserve">IT and business continuity — resilience, DR, third-party dependency</w:t>
      </w:r>
    </w:p>
    <w:p>
      <w:pPr>
        <w:pStyle w:val="ListParagraph"/>
        <w:numPr>
          <w:ilvl w:val="0"/>
          <w:numId w:val="2"/>
        </w:numPr>
        <w:spacing w:after="100" w:line="300"/>
      </w:pPr>
      <w:r>
        <w:rPr>
          <w:rFonts w:ascii="Calibri" w:cs="Calibri" w:eastAsia="Calibri" w:hAnsi="Calibri"/>
          <w:color w:val="1A1814"/>
          <w:sz w:val="22"/>
          <w:szCs w:val="22"/>
        </w:rPr>
        <w:t xml:space="preserve">Supply chain — concentration, geography, single-point-of-failure vendors</w:t>
      </w:r>
    </w:p>
    <w:p>
      <w:pPr>
        <w:pStyle w:val="ListParagraph"/>
        <w:numPr>
          <w:ilvl w:val="0"/>
          <w:numId w:val="2"/>
        </w:numPr>
        <w:spacing w:after="100" w:line="300"/>
      </w:pPr>
      <w:r>
        <w:rPr>
          <w:rFonts w:ascii="Calibri" w:cs="Calibri" w:eastAsia="Calibri" w:hAnsi="Calibri"/>
          <w:color w:val="1A1814"/>
          <w:sz w:val="22"/>
          <w:szCs w:val="22"/>
        </w:rPr>
        <w:t xml:space="preserve">Insurance — coverage adequacy across all of the above</w:t>
      </w:r>
    </w:p>
    <w:p>
      <w:pPr>
        <w:pStyle w:val="Heading3"/>
        <w:spacing w:after="100" w:before="200"/>
      </w:pPr>
      <w:r>
        <w:rPr>
          <w:rFonts w:ascii="Calibri" w:cs="Calibri" w:eastAsia="Calibri" w:hAnsi="Calibri"/>
          <w:b/>
          <w:bCs/>
          <w:i w:val="false"/>
          <w:iCs w:val="false"/>
          <w:color w:val="1A1814"/>
          <w:sz w:val="22"/>
          <w:szCs w:val="22"/>
        </w:rPr>
        <w:t xml:space="preserve">Strategic Risk</w:t>
      </w:r>
    </w:p>
    <w:p>
      <w:pPr>
        <w:spacing w:after="180" w:line="320"/>
        <w:jc w:val="both"/>
      </w:pPr>
      <w:r>
        <w:rPr>
          <w:rFonts w:ascii="Calibri" w:cs="Calibri" w:eastAsia="Calibri" w:hAnsi="Calibri"/>
          <w:color w:val="1A1814"/>
          <w:sz w:val="22"/>
          <w:szCs w:val="22"/>
        </w:rPr>
        <w:t xml:space="preserve">The risks that would change the shape of the business itself — where it operates, how the market perceives it, how exposed its balance sheet is, how the geopolitical environment moves against it. These are the risks a board is most likely to ask about and least likely to have quantified on one page.</w:t>
      </w:r>
    </w:p>
    <w:p>
      <w:pPr>
        <w:pStyle w:val="ListParagraph"/>
        <w:numPr>
          <w:ilvl w:val="0"/>
          <w:numId w:val="2"/>
        </w:numPr>
        <w:spacing w:after="100" w:line="300"/>
      </w:pPr>
      <w:r>
        <w:rPr>
          <w:rFonts w:ascii="Calibri" w:cs="Calibri" w:eastAsia="Calibri" w:hAnsi="Calibri"/>
          <w:color w:val="1A1814"/>
          <w:sz w:val="22"/>
          <w:szCs w:val="22"/>
        </w:rPr>
        <w:t xml:space="preserve">Financial exposure — liquidity, concentration, counterparty</w:t>
      </w:r>
    </w:p>
    <w:p>
      <w:pPr>
        <w:pStyle w:val="ListParagraph"/>
        <w:numPr>
          <w:ilvl w:val="0"/>
          <w:numId w:val="2"/>
        </w:numPr>
        <w:spacing w:after="100" w:line="300"/>
      </w:pPr>
      <w:r>
        <w:rPr>
          <w:rFonts w:ascii="Calibri" w:cs="Calibri" w:eastAsia="Calibri" w:hAnsi="Calibri"/>
          <w:color w:val="1A1814"/>
          <w:sz w:val="22"/>
          <w:szCs w:val="22"/>
        </w:rPr>
        <w:t xml:space="preserve">Market and geographic — footprint, over-exposure to a single market</w:t>
      </w:r>
    </w:p>
    <w:p>
      <w:pPr>
        <w:pStyle w:val="ListParagraph"/>
        <w:numPr>
          <w:ilvl w:val="0"/>
          <w:numId w:val="2"/>
        </w:numPr>
        <w:spacing w:after="100" w:line="300"/>
      </w:pPr>
      <w:r>
        <w:rPr>
          <w:rFonts w:ascii="Calibri" w:cs="Calibri" w:eastAsia="Calibri" w:hAnsi="Calibri"/>
          <w:color w:val="1A1814"/>
          <w:sz w:val="22"/>
          <w:szCs w:val="22"/>
        </w:rPr>
        <w:t xml:space="preserve">Reputational and brand — public posture, stakeholder trust</w:t>
      </w:r>
    </w:p>
    <w:p>
      <w:pPr>
        <w:pStyle w:val="ListParagraph"/>
        <w:numPr>
          <w:ilvl w:val="0"/>
          <w:numId w:val="2"/>
        </w:numPr>
        <w:spacing w:after="100" w:line="300"/>
      </w:pPr>
      <w:r>
        <w:rPr>
          <w:rFonts w:ascii="Calibri" w:cs="Calibri" w:eastAsia="Calibri" w:hAnsi="Calibri"/>
          <w:color w:val="1A1814"/>
          <w:sz w:val="22"/>
          <w:szCs w:val="22"/>
        </w:rPr>
        <w:t xml:space="preserve">Geopolitical — jurisdictional, sanctions, cross-border operating risk</w:t>
      </w:r>
    </w:p>
    <w:p>
      <w:pPr>
        <w:pStyle w:val="Heading3"/>
        <w:spacing w:after="100" w:before="200"/>
      </w:pPr>
      <w:r>
        <w:rPr>
          <w:rFonts w:ascii="Calibri" w:cs="Calibri" w:eastAsia="Calibri" w:hAnsi="Calibri"/>
          <w:b/>
          <w:bCs/>
          <w:i w:val="false"/>
          <w:iCs w:val="false"/>
          <w:color w:val="1A1814"/>
          <w:sz w:val="22"/>
          <w:szCs w:val="22"/>
        </w:rPr>
        <w:t xml:space="preserve">Governance Risk</w:t>
      </w:r>
    </w:p>
    <w:p>
      <w:pPr>
        <w:spacing w:after="180" w:line="320"/>
        <w:jc w:val="both"/>
      </w:pPr>
      <w:r>
        <w:rPr>
          <w:rFonts w:ascii="Calibri" w:cs="Calibri" w:eastAsia="Calibri" w:hAnsi="Calibri"/>
          <w:color w:val="1A1814"/>
          <w:sz w:val="22"/>
          <w:szCs w:val="22"/>
        </w:rPr>
        <w:t xml:space="preserve">The risks that live in how the business is run — the controls, the obligations, the people, and the oversight mechanisms. Weakness here does not usually break the business by itself; it is what turns an operational or strategic incident into a crisis.</w:t>
      </w:r>
    </w:p>
    <w:p>
      <w:pPr>
        <w:pStyle w:val="ListParagraph"/>
        <w:numPr>
          <w:ilvl w:val="0"/>
          <w:numId w:val="2"/>
        </w:numPr>
        <w:spacing w:after="100" w:line="300"/>
      </w:pPr>
      <w:r>
        <w:rPr>
          <w:rFonts w:ascii="Calibri" w:cs="Calibri" w:eastAsia="Calibri" w:hAnsi="Calibri"/>
          <w:color w:val="1A1814"/>
          <w:sz w:val="22"/>
          <w:szCs w:val="22"/>
        </w:rPr>
        <w:t xml:space="preserve">Governance — board oversight, decision rights, controls framework</w:t>
      </w:r>
    </w:p>
    <w:p>
      <w:pPr>
        <w:pStyle w:val="ListParagraph"/>
        <w:numPr>
          <w:ilvl w:val="0"/>
          <w:numId w:val="2"/>
        </w:numPr>
        <w:spacing w:after="100" w:line="300"/>
      </w:pPr>
      <w:r>
        <w:rPr>
          <w:rFonts w:ascii="Calibri" w:cs="Calibri" w:eastAsia="Calibri" w:hAnsi="Calibri"/>
          <w:color w:val="1A1814"/>
          <w:sz w:val="22"/>
          <w:szCs w:val="22"/>
        </w:rPr>
        <w:t xml:space="preserve">Regulatory and compliance — obligations, controls, audit readiness</w:t>
      </w:r>
    </w:p>
    <w:p>
      <w:pPr>
        <w:pStyle w:val="ListParagraph"/>
        <w:numPr>
          <w:ilvl w:val="0"/>
          <w:numId w:val="2"/>
        </w:numPr>
        <w:spacing w:after="100" w:line="300"/>
      </w:pPr>
      <w:r>
        <w:rPr>
          <w:rFonts w:ascii="Calibri" w:cs="Calibri" w:eastAsia="Calibri" w:hAnsi="Calibri"/>
          <w:color w:val="1A1814"/>
          <w:sz w:val="22"/>
          <w:szCs w:val="22"/>
        </w:rPr>
        <w:t xml:space="preserve">ESG — environmental, social, and governance posture and disclosure</w:t>
      </w:r>
    </w:p>
    <w:p>
      <w:pPr>
        <w:pStyle w:val="ListParagraph"/>
        <w:numPr>
          <w:ilvl w:val="0"/>
          <w:numId w:val="2"/>
        </w:numPr>
        <w:spacing w:after="100" w:line="300"/>
      </w:pPr>
      <w:r>
        <w:rPr>
          <w:rFonts w:ascii="Calibri" w:cs="Calibri" w:eastAsia="Calibri" w:hAnsi="Calibri"/>
          <w:color w:val="1A1814"/>
          <w:sz w:val="22"/>
          <w:szCs w:val="22"/>
        </w:rPr>
        <w:t xml:space="preserve">Human capital — key-person risk, succession, culture, insider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6A2F" w:sz="6"/>
              <w:left w:val="single" w:color="8C6A2F" w:sz="6"/>
              <w:bottom w:val="single" w:color="8C6A2F" w:sz="6"/>
              <w:right w:val="single" w:color="8C6A2F" w:sz="6"/>
            </w:tcBorders>
            <w:shd w:fill="F6F1E6" w:color="auto" w:val="clear"/>
            <w:tcMar>
              <w:top w:type="dxa" w:w="200"/>
              <w:left w:type="dxa" w:w="240"/>
              <w:bottom w:type="dxa" w:w="200"/>
              <w:right w:type="dxa" w:w="240"/>
            </w:tcMar>
          </w:tcPr>
          <w:p>
            <w:pPr>
              <w:spacing w:after="100"/>
            </w:pPr>
            <w:r>
              <w:rPr>
                <w:rFonts w:ascii="Calibri" w:cs="Calibri" w:eastAsia="Calibri" w:hAnsi="Calibri"/>
                <w:b/>
                <w:bCs/>
                <w:color w:val="1A1814"/>
                <w:sz w:val="22"/>
                <w:szCs w:val="22"/>
              </w:rPr>
              <w:t xml:space="preserve">Why this categorization is a low-lift launch</w:t>
            </w:r>
          </w:p>
          <w:p>
            <w:pPr>
              <w:spacing w:after="80" w:line="300"/>
            </w:pPr>
            <w:r>
              <w:rPr>
                <w:rFonts w:ascii="Calibri" w:cs="Calibri" w:eastAsia="Calibri" w:hAnsi="Calibri"/>
                <w:color w:val="1A1814"/>
                <w:sz w:val="22"/>
                <w:szCs w:val="22"/>
              </w:rPr>
              <w:t xml:space="preserve">The proposed three categories are a presentation layer, not a methodology change. The ten pillars in the platform today — including the four new ones from the 10-Pillar Expansion plan — map cleanly onto Operational, Strategic, and Governance without renaming, rescoring, or reweighting anything.</w:t>
            </w:r>
          </w:p>
          <w:p>
            <w:pPr>
              <w:spacing w:after="80" w:line="300"/>
            </w:pPr>
            <w:r>
              <w:rPr>
                <w:rFonts w:ascii="Calibri" w:cs="Calibri" w:eastAsia="Calibri" w:hAnsi="Calibri"/>
                <w:color w:val="1A1814"/>
                <w:sz w:val="22"/>
                <w:szCs w:val="22"/>
              </w:rPr>
              <w:t xml:space="preserve">Concretely: the platform's Cyber, Physical, and Insurance pillars are Operational; Reputational, Geographic, and the new Liquidity and Tax pillars are Strategic; the platform's Governance pillar plus the new Estate/Succession and Family Governance pillars (renamed to "Succession" and "Human Capital" in enterprise framing) are Governance.</w:t>
            </w:r>
          </w:p>
          <w:p>
            <w:pPr>
              <w:spacing w:after="80" w:line="300"/>
            </w:pPr>
            <w:r>
              <w:rPr>
                <w:rFonts w:ascii="Calibri" w:cs="Calibri" w:eastAsia="Calibri" w:hAnsi="Calibri"/>
                <w:color w:val="1A1814"/>
                <w:sz w:val="22"/>
                <w:szCs w:val="22"/>
              </w:rPr>
              <w:t xml:space="preserve">That mapping means launching this tab does not require any change to the assessment engine, the scoring model, the question bank, or the recommendation rules. It is a marketing repackage of the same underlying platform.</w:t>
            </w:r>
          </w:p>
        </w:tc>
      </w:tr>
    </w:tbl>
    <w:p>
      <w:pPr>
        <w:pStyle w:val="Heading2"/>
        <w:spacing w:after="140" w:before="260"/>
      </w:pPr>
      <w:r>
        <w:rPr>
          <w:rFonts w:ascii="Calibri" w:cs="Calibri" w:eastAsia="Calibri" w:hAnsi="Calibri"/>
          <w:b/>
          <w:bCs/>
          <w:color w:val="1A1814"/>
          <w:sz w:val="26"/>
          <w:szCs w:val="26"/>
        </w:rPr>
        <w:t xml:space="preserve">5.5 How it works (for a business buyer)</w:t>
      </w:r>
    </w:p>
    <w:p>
      <w:pPr>
        <w:spacing w:after="180" w:line="320"/>
        <w:jc w:val="both"/>
      </w:pPr>
      <w:r>
        <w:rPr>
          <w:rFonts w:ascii="Calibri" w:cs="Calibri" w:eastAsia="Calibri" w:hAnsi="Calibri"/>
          <w:color w:val="1A1814"/>
          <w:sz w:val="22"/>
          <w:szCs w:val="22"/>
        </w:rPr>
        <w:t xml:space="preserve">Three steps, deliberately parallel to the existing How-It-Works framing on the family and firms tabs but rewritten in enterprise vocabulary.</w:t>
      </w:r>
    </w:p>
    <w:p>
      <w:pPr>
        <w:pStyle w:val="ListParagraph"/>
        <w:numPr>
          <w:ilvl w:val="0"/>
          <w:numId w:val="2"/>
        </w:numPr>
        <w:spacing w:after="100" w:line="300"/>
      </w:pPr>
      <w:r>
        <w:rPr>
          <w:rFonts w:ascii="Calibri" w:cs="Calibri" w:eastAsia="Calibri" w:hAnsi="Calibri"/>
          <w:b/>
          <w:bCs/>
          <w:color w:val="1A1814"/>
          <w:sz w:val="22"/>
          <w:szCs w:val="22"/>
        </w:rPr>
        <w:t xml:space="preserve">Assess. </w:t>
      </w:r>
      <w:r>
        <w:rPr>
          <w:rFonts w:ascii="Calibri" w:cs="Calibri" w:eastAsia="Calibri" w:hAnsi="Calibri"/>
          <w:color w:val="1A1814"/>
          <w:sz w:val="22"/>
          <w:szCs w:val="22"/>
        </w:rPr>
        <w:t xml:space="preserve">A structured intake across every relevant pillar, scoped and weighted for your business, completed by the right owner in each function. Not a survey — a defensible assessment with an audit trail.</w:t>
      </w:r>
    </w:p>
    <w:p>
      <w:pPr>
        <w:pStyle w:val="ListParagraph"/>
        <w:numPr>
          <w:ilvl w:val="0"/>
          <w:numId w:val="2"/>
        </w:numPr>
        <w:spacing w:after="100" w:line="300"/>
      </w:pPr>
      <w:r>
        <w:rPr>
          <w:rFonts w:ascii="Calibri" w:cs="Calibri" w:eastAsia="Calibri" w:hAnsi="Calibri"/>
          <w:b/>
          <w:bCs/>
          <w:color w:val="1A1814"/>
          <w:sz w:val="22"/>
          <w:szCs w:val="22"/>
        </w:rPr>
        <w:t xml:space="preserve">Visualize. </w:t>
      </w:r>
      <w:r>
        <w:rPr>
          <w:rFonts w:ascii="Calibri" w:cs="Calibri" w:eastAsia="Calibri" w:hAnsi="Calibri"/>
          <w:color w:val="1A1814"/>
          <w:sz w:val="22"/>
          <w:szCs w:val="22"/>
        </w:rPr>
        <w:t xml:space="preserve">One view of enterprise risk with comparable scores across pillars, drill-down into any domain, and a board-ready summary that requires no further reformatting.</w:t>
      </w:r>
    </w:p>
    <w:p>
      <w:pPr>
        <w:pStyle w:val="ListParagraph"/>
        <w:numPr>
          <w:ilvl w:val="0"/>
          <w:numId w:val="2"/>
        </w:numPr>
        <w:spacing w:after="100" w:line="300"/>
      </w:pPr>
      <w:r>
        <w:rPr>
          <w:rFonts w:ascii="Calibri" w:cs="Calibri" w:eastAsia="Calibri" w:hAnsi="Calibri"/>
          <w:b/>
          <w:bCs/>
          <w:color w:val="1A1814"/>
          <w:sz w:val="22"/>
          <w:szCs w:val="22"/>
        </w:rPr>
        <w:t xml:space="preserve">Prioritize. </w:t>
      </w:r>
      <w:r>
        <w:rPr>
          <w:rFonts w:ascii="Calibri" w:cs="Calibri" w:eastAsia="Calibri" w:hAnsi="Calibri"/>
          <w:color w:val="1A1814"/>
          <w:sz w:val="22"/>
          <w:szCs w:val="22"/>
        </w:rPr>
        <w:t xml:space="preserve">Recommendations ranked across pillars by impact and effort, so the highest-marginal-return action is the one the platform tells you to take next — not the loudest domain owner.</w:t>
      </w:r>
    </w:p>
    <w:p>
      <w:pPr>
        <w:pStyle w:val="Heading2"/>
        <w:spacing w:after="140" w:before="260"/>
      </w:pPr>
      <w:r>
        <w:rPr>
          <w:rFonts w:ascii="Calibri" w:cs="Calibri" w:eastAsia="Calibri" w:hAnsi="Calibri"/>
          <w:b/>
          <w:bCs/>
          <w:color w:val="1A1814"/>
          <w:sz w:val="26"/>
          <w:szCs w:val="26"/>
        </w:rPr>
        <w:t xml:space="preserve">5.6 Who it's for — three sample use cases</w:t>
      </w:r>
    </w:p>
    <w:p>
      <w:pPr>
        <w:pStyle w:val="Heading3"/>
        <w:spacing w:after="100" w:before="200"/>
      </w:pPr>
      <w:r>
        <w:rPr>
          <w:rFonts w:ascii="Calibri" w:cs="Calibri" w:eastAsia="Calibri" w:hAnsi="Calibri"/>
          <w:b/>
          <w:bCs/>
          <w:i w:val="false"/>
          <w:iCs w:val="false"/>
          <w:color w:val="1A1814"/>
          <w:sz w:val="22"/>
          <w:szCs w:val="22"/>
        </w:rPr>
        <w:t xml:space="preserve">Private-equity portfolio risk oversight</w:t>
      </w:r>
    </w:p>
    <w:p>
      <w:pPr>
        <w:spacing w:after="180" w:line="320"/>
        <w:jc w:val="both"/>
      </w:pPr>
      <w:r>
        <w:rPr>
          <w:rFonts w:ascii="Calibri" w:cs="Calibri" w:eastAsia="Calibri" w:hAnsi="Calibri"/>
          <w:color w:val="1A1814"/>
          <w:sz w:val="22"/>
          <w:szCs w:val="22"/>
        </w:rPr>
        <w:t xml:space="preserve">One methodology across every portfolio company. Operating partners can compare risk scores between holdings, spot concentration risk across the portfolio, and give the investment committee a single view of where risk-driven value is being lost.</w:t>
      </w:r>
    </w:p>
    <w:p>
      <w:pPr>
        <w:pStyle w:val="Heading3"/>
        <w:spacing w:after="100" w:before="200"/>
      </w:pPr>
      <w:r>
        <w:rPr>
          <w:rFonts w:ascii="Calibri" w:cs="Calibri" w:eastAsia="Calibri" w:hAnsi="Calibri"/>
          <w:b/>
          <w:bCs/>
          <w:i w:val="false"/>
          <w:iCs w:val="false"/>
          <w:color w:val="1A1814"/>
          <w:sz w:val="22"/>
          <w:szCs w:val="22"/>
        </w:rPr>
        <w:t xml:space="preserve">Insurance brokers with a risk-audit practice</w:t>
      </w:r>
    </w:p>
    <w:p>
      <w:pPr>
        <w:spacing w:after="180" w:line="320"/>
        <w:jc w:val="both"/>
      </w:pPr>
      <w:r>
        <w:rPr>
          <w:rFonts w:ascii="Calibri" w:cs="Calibri" w:eastAsia="Calibri" w:hAnsi="Calibri"/>
          <w:color w:val="1A1814"/>
          <w:sz w:val="22"/>
          <w:szCs w:val="22"/>
        </w:rPr>
        <w:t xml:space="preserve">A productized cross-domain risk assessment that a broker can deliver to commercial clients as a differentiated engagement — moving the broker up from placement to advisory without requiring them to build a risk-analyst bench.</w:t>
      </w:r>
    </w:p>
    <w:p>
      <w:pPr>
        <w:pStyle w:val="Heading3"/>
        <w:spacing w:after="100" w:before="200"/>
      </w:pPr>
      <w:r>
        <w:rPr>
          <w:rFonts w:ascii="Calibri" w:cs="Calibri" w:eastAsia="Calibri" w:hAnsi="Calibri"/>
          <w:b/>
          <w:bCs/>
          <w:i w:val="false"/>
          <w:iCs w:val="false"/>
          <w:color w:val="1A1814"/>
          <w:sz w:val="22"/>
          <w:szCs w:val="22"/>
        </w:rPr>
        <w:t xml:space="preserve">Corporate CRO with an annual board risk deliverable</w:t>
      </w:r>
    </w:p>
    <w:p>
      <w:pPr>
        <w:spacing w:after="180" w:line="320"/>
        <w:jc w:val="both"/>
      </w:pPr>
      <w:r>
        <w:rPr>
          <w:rFonts w:ascii="Calibri" w:cs="Calibri" w:eastAsia="Calibri" w:hAnsi="Calibri"/>
          <w:color w:val="1A1814"/>
          <w:sz w:val="22"/>
          <w:szCs w:val="22"/>
        </w:rPr>
        <w:t xml:space="preserve">A defensible, repeatable assessment that produces the board risk report the CRO already owes — assembled from a single process, backed by an evidence trail, and directly comparable year-over-year.</w:t>
      </w:r>
    </w:p>
    <w:p>
      <w:pPr>
        <w:pStyle w:val="Heading2"/>
        <w:spacing w:after="140" w:before="260"/>
      </w:pPr>
      <w:r>
        <w:rPr>
          <w:rFonts w:ascii="Calibri" w:cs="Calibri" w:eastAsia="Calibri" w:hAnsi="Calibri"/>
          <w:b/>
          <w:bCs/>
          <w:color w:val="1A1814"/>
          <w:sz w:val="26"/>
          <w:szCs w:val="26"/>
        </w:rPr>
        <w:t xml:space="preserve">5.7 Social proof</w:t>
      </w:r>
    </w:p>
    <w:p>
      <w:pPr>
        <w:spacing w:after="180" w:line="320"/>
        <w:jc w:val="both"/>
      </w:pPr>
      <w:r>
        <w:rPr>
          <w:rFonts w:ascii="Calibri" w:cs="Calibri" w:eastAsia="Calibri" w:hAnsi="Calibri"/>
          <w:color w:val="1A1814"/>
          <w:sz w:val="22"/>
          <w:szCs w:val="22"/>
        </w:rPr>
        <w:t xml:space="preserve">Placeholder. Case studies, named customers, and quantitative outcomes are TBD pending real pilot deployments; see Section 9 for the open question about which pilot customers Akili is willing to name. In the interim the page should include a simple slate that reads "Trusted by risk teams at [customer logos]" with a placeholder note and no fake logos.</w:t>
      </w:r>
    </w:p>
    <w:p>
      <w:pPr>
        <w:pStyle w:val="Heading2"/>
        <w:spacing w:after="140" w:before="260"/>
      </w:pPr>
      <w:r>
        <w:rPr>
          <w:rFonts w:ascii="Calibri" w:cs="Calibri" w:eastAsia="Calibri" w:hAnsi="Calibri"/>
          <w:b/>
          <w:bCs/>
          <w:color w:val="1A1814"/>
          <w:sz w:val="26"/>
          <w:szCs w:val="26"/>
        </w:rPr>
        <w:t xml:space="preserve">5.8 Pricing hint and CTA</w:t>
      </w:r>
    </w:p>
    <w:p>
      <w:pPr>
        <w:spacing w:after="180" w:line="320"/>
        <w:jc w:val="both"/>
      </w:pPr>
      <w:r>
        <w:rPr>
          <w:rFonts w:ascii="Calibri" w:cs="Calibri" w:eastAsia="Calibri" w:hAnsi="Calibri"/>
          <w:color w:val="1A1814"/>
          <w:sz w:val="22"/>
          <w:szCs w:val="22"/>
        </w:rPr>
        <w:t xml:space="preserve">Do not publish enterprise pricing on the page. Direct buyers to the existing /contact/enterprise surface, which the marketing site already exposes for enterprise-priced inquiries. Recommended pattern: a small pricing-preview band at the bottom of the page that says "Enterprise pricing is scoped to the size and complexity of your risk environment," with a Talk to sales CTA that routes to /contact/enterprise.</w:t>
      </w:r>
    </w:p>
    <w:p>
      <w:pPr>
        <w:pStyle w:val="Heading1"/>
        <w:spacing w:after="200" w:before="320"/>
      </w:pPr>
      <w:r>
        <w:rPr>
          <w:rFonts w:ascii="Calibri" w:cs="Calibri" w:eastAsia="Calibri" w:hAnsi="Calibri"/>
          <w:b/>
          <w:bCs/>
          <w:color w:val="1A1814"/>
          <w:sz w:val="30"/>
          <w:szCs w:val="30"/>
        </w:rPr>
        <w:t xml:space="preserve">6. Copy Tone Guidance</w:t>
      </w:r>
    </w:p>
    <w:p>
      <w:pPr>
        <w:spacing w:after="180" w:line="320"/>
        <w:jc w:val="both"/>
      </w:pPr>
      <w:r>
        <w:rPr>
          <w:rFonts w:ascii="Calibri" w:cs="Calibri" w:eastAsia="Calibri" w:hAnsi="Calibri"/>
          <w:color w:val="1A1814"/>
          <w:sz w:val="22"/>
          <w:szCs w:val="22"/>
        </w:rPr>
        <w:t xml:space="preserve">B2B, confident, concrete. The two positioning words are unified and cross-domain, and every section of copy should be able to defend how it uses at least one of them. Sentences should carry information, not atmosphere — a risk executive reading the page has a specific job and a limited amount of patience for language that sounds like a brochure.</w:t>
      </w:r>
    </w:p>
    <w:p>
      <w:pPr>
        <w:spacing w:after="180" w:line="320"/>
        <w:jc w:val="both"/>
      </w:pPr>
      <w:r>
        <w:rPr>
          <w:rFonts w:ascii="Calibri" w:cs="Calibri" w:eastAsia="Calibri" w:hAnsi="Calibri"/>
          <w:color w:val="1A1814"/>
          <w:sz w:val="22"/>
          <w:szCs w:val="22"/>
        </w:rPr>
        <w:t xml:space="preserve">Avoid: synergize, leverage, holistic risk posture without a definition, unlock, empower, next-generation, best-in-class. These read as fluff in an enterprise-risk context and will make the page sound less serious than the product is. Prefer concrete verbs and named artifacts — "produces a board-ready view," "scores across pillars," "prioritizes recommendations by impact and effort" — over adjective-heavy positioning.</w:t>
      </w:r>
    </w:p>
    <w:p>
      <w:pPr>
        <w:spacing w:after="180" w:line="320"/>
        <w:jc w:val="both"/>
      </w:pPr>
      <w:r>
        <w:rPr>
          <w:rFonts w:ascii="Calibri" w:cs="Calibri" w:eastAsia="Calibri" w:hAnsi="Calibri"/>
          <w:color w:val="1A1814"/>
          <w:sz w:val="22"/>
          <w:szCs w:val="22"/>
        </w:rPr>
        <w:t xml:space="preserve">Match the register of the existing For Firms copy, not the existing For Families copy. The Families surface is warm and reassuring; the Firms surface is direct and workmanlike. The Businesses surface should land closer to Firms, and slightly more formal.</w:t>
      </w:r>
    </w:p>
    <w:p>
      <w:pPr>
        <w:pStyle w:val="Heading1"/>
        <w:spacing w:after="200" w:before="320"/>
      </w:pPr>
      <w:r>
        <w:rPr>
          <w:rFonts w:ascii="Calibri" w:cs="Calibri" w:eastAsia="Calibri" w:hAnsi="Calibri"/>
          <w:b/>
          <w:bCs/>
          <w:color w:val="1A1814"/>
          <w:sz w:val="30"/>
          <w:szCs w:val="30"/>
        </w:rPr>
        <w:t xml:space="preserve">7. Design Notes</w:t>
      </w:r>
    </w:p>
    <w:p>
      <w:pPr>
        <w:spacing w:after="180" w:line="320"/>
        <w:jc w:val="both"/>
      </w:pPr>
      <w:r>
        <w:rPr>
          <w:rFonts w:ascii="Calibri" w:cs="Calibri" w:eastAsia="Calibri" w:hAnsi="Calibri"/>
          <w:color w:val="1A1814"/>
          <w:sz w:val="22"/>
          <w:szCs w:val="22"/>
        </w:rPr>
        <w:t xml:space="preserve">This is an extension of the existing marketing design system, not a redesign. The /businesses route should be visually indistinguishable from /families and /firms at the level of layout, typography, spacing, and color — the only differences are the words on the page and, optionally, one product-preview visual tailored to the enterprise story.</w:t>
      </w:r>
    </w:p>
    <w:p>
      <w:pPr>
        <w:pStyle w:val="Heading3"/>
        <w:spacing w:after="100" w:before="200"/>
      </w:pPr>
      <w:r>
        <w:rPr>
          <w:rFonts w:ascii="Calibri" w:cs="Calibri" w:eastAsia="Calibri" w:hAnsi="Calibri"/>
          <w:b/>
          <w:bCs/>
          <w:i w:val="false"/>
          <w:iCs w:val="false"/>
          <w:color w:val="1A1814"/>
          <w:sz w:val="22"/>
          <w:szCs w:val="22"/>
        </w:rPr>
        <w:t xml:space="preserve">Reused components</w:t>
      </w:r>
    </w:p>
    <w:p>
      <w:pPr>
        <w:pStyle w:val="ListParagraph"/>
        <w:numPr>
          <w:ilvl w:val="0"/>
          <w:numId w:val="2"/>
        </w:numPr>
        <w:spacing w:after="100" w:line="300"/>
      </w:pPr>
      <w:r>
        <w:rPr>
          <w:rFonts w:ascii="Calibri" w:cs="Calibri" w:eastAsia="Calibri" w:hAnsi="Calibri"/>
          <w:color w:val="1A1814"/>
          <w:sz w:val="22"/>
          <w:szCs w:val="22"/>
        </w:rPr>
        <w:t xml:space="preserve">PublicPageShell — page frame, header, footer</w:t>
      </w:r>
    </w:p>
    <w:p>
      <w:pPr>
        <w:pStyle w:val="ListParagraph"/>
        <w:numPr>
          <w:ilvl w:val="0"/>
          <w:numId w:val="2"/>
        </w:numPr>
        <w:spacing w:after="100" w:line="300"/>
      </w:pPr>
      <w:r>
        <w:rPr>
          <w:rFonts w:ascii="Calibri" w:cs="Calibri" w:eastAsia="Calibri" w:hAnsi="Calibri"/>
          <w:color w:val="1A1814"/>
          <w:sz w:val="22"/>
          <w:szCs w:val="22"/>
        </w:rPr>
        <w:t xml:space="preserve">SiteHeader / SiteHeaderNav — nav with the new Businesses tab wired in</w:t>
      </w:r>
    </w:p>
    <w:p>
      <w:pPr>
        <w:pStyle w:val="ListParagraph"/>
        <w:numPr>
          <w:ilvl w:val="0"/>
          <w:numId w:val="2"/>
        </w:numPr>
        <w:spacing w:after="100" w:line="300"/>
      </w:pPr>
      <w:r>
        <w:rPr>
          <w:rFonts w:ascii="Calibri" w:cs="Calibri" w:eastAsia="Calibri" w:hAnsi="Calibri"/>
          <w:color w:val="1A1814"/>
          <w:sz w:val="22"/>
          <w:szCs w:val="22"/>
        </w:rPr>
        <w:t xml:space="preserve">LandingHero — with businesses copy from HERO_AUDIENCE_CONTENT</w:t>
      </w:r>
    </w:p>
    <w:p>
      <w:pPr>
        <w:pStyle w:val="ListParagraph"/>
        <w:numPr>
          <w:ilvl w:val="0"/>
          <w:numId w:val="2"/>
        </w:numPr>
        <w:spacing w:after="100" w:line="300"/>
      </w:pPr>
      <w:r>
        <w:rPr>
          <w:rFonts w:ascii="Calibri" w:cs="Calibri" w:eastAsia="Calibri" w:hAnsi="Calibri"/>
          <w:color w:val="1A1814"/>
          <w:sz w:val="22"/>
          <w:szCs w:val="22"/>
        </w:rPr>
        <w:t xml:space="preserve">LandingProductPreview — reuse existing, unless a business-specific variant is desired later</w:t>
      </w:r>
    </w:p>
    <w:p>
      <w:pPr>
        <w:pStyle w:val="ListParagraph"/>
        <w:numPr>
          <w:ilvl w:val="0"/>
          <w:numId w:val="2"/>
        </w:numPr>
        <w:spacing w:after="100" w:line="300"/>
      </w:pPr>
      <w:r>
        <w:rPr>
          <w:rFonts w:ascii="Calibri" w:cs="Calibri" w:eastAsia="Calibri" w:hAnsi="Calibri"/>
          <w:color w:val="1A1814"/>
          <w:sz w:val="22"/>
          <w:szCs w:val="22"/>
        </w:rPr>
        <w:t xml:space="preserve">LandingHowItWorks — reuse; the three-step framing is already enterprise-friendly</w:t>
      </w:r>
    </w:p>
    <w:p>
      <w:pPr>
        <w:pStyle w:val="ListParagraph"/>
        <w:numPr>
          <w:ilvl w:val="0"/>
          <w:numId w:val="2"/>
        </w:numPr>
        <w:spacing w:after="100" w:line="300"/>
      </w:pPr>
      <w:r>
        <w:rPr>
          <w:rFonts w:ascii="Calibri" w:cs="Calibri" w:eastAsia="Calibri" w:hAnsi="Calibri"/>
          <w:color w:val="1A1814"/>
          <w:sz w:val="22"/>
          <w:szCs w:val="22"/>
        </w:rPr>
        <w:t xml:space="preserve">LandingOutcomesSection — reuse with businesses-specific outcome copy</w:t>
      </w:r>
    </w:p>
    <w:p>
      <w:pPr>
        <w:pStyle w:val="ListParagraph"/>
        <w:numPr>
          <w:ilvl w:val="0"/>
          <w:numId w:val="2"/>
        </w:numPr>
        <w:spacing w:after="100" w:line="300"/>
      </w:pPr>
      <w:r>
        <w:rPr>
          <w:rFonts w:ascii="Calibri" w:cs="Calibri" w:eastAsia="Calibri" w:hAnsi="Calibri"/>
          <w:color w:val="1A1814"/>
          <w:sz w:val="22"/>
          <w:szCs w:val="22"/>
        </w:rPr>
        <w:t xml:space="preserve">LandingPricingPreview — reuse pointed at enterprise contact instead of self-serve tiers</w:t>
      </w:r>
    </w:p>
    <w:p>
      <w:pPr>
        <w:pStyle w:val="Heading3"/>
        <w:spacing w:after="100" w:before="200"/>
      </w:pPr>
      <w:r>
        <w:rPr>
          <w:rFonts w:ascii="Calibri" w:cs="Calibri" w:eastAsia="Calibri" w:hAnsi="Calibri"/>
          <w:b/>
          <w:bCs/>
          <w:i w:val="false"/>
          <w:iCs w:val="false"/>
          <w:color w:val="1A1814"/>
          <w:sz w:val="22"/>
          <w:szCs w:val="22"/>
        </w:rPr>
        <w:t xml:space="preserve">New assets</w:t>
      </w:r>
    </w:p>
    <w:p>
      <w:pPr>
        <w:pStyle w:val="ListParagraph"/>
        <w:numPr>
          <w:ilvl w:val="0"/>
          <w:numId w:val="2"/>
        </w:numPr>
        <w:spacing w:after="100" w:line="300"/>
      </w:pPr>
      <w:r>
        <w:rPr>
          <w:rFonts w:ascii="Calibri" w:cs="Calibri" w:eastAsia="Calibri" w:hAnsi="Calibri"/>
          <w:color w:val="1A1814"/>
          <w:sz w:val="22"/>
          <w:szCs w:val="22"/>
        </w:rPr>
        <w:t xml:space="preserve">One optional hero-adjacent visualization showing the three-category grouping (Operational / Strategic / Governance) with the ten pillars distributed underneath. Vector, matches the existing PlatformPillarRadarPreview aesthetic.</w:t>
      </w:r>
    </w:p>
    <w:p>
      <w:pPr>
        <w:pStyle w:val="ListParagraph"/>
        <w:numPr>
          <w:ilvl w:val="0"/>
          <w:numId w:val="2"/>
        </w:numPr>
        <w:spacing w:after="100" w:line="300"/>
      </w:pPr>
      <w:r>
        <w:rPr>
          <w:rFonts w:ascii="Calibri" w:cs="Calibri" w:eastAsia="Calibri" w:hAnsi="Calibri"/>
          <w:color w:val="1A1814"/>
          <w:sz w:val="22"/>
          <w:szCs w:val="22"/>
        </w:rPr>
        <w:t xml:space="preserve">A short caption for the three-category illustration, three sentences, that a reader can absorb without engaging with the interactive product preview.</w:t>
      </w:r>
    </w:p>
    <w:p>
      <w:pPr>
        <w:pStyle w:val="Heading1"/>
        <w:spacing w:after="200" w:before="320"/>
      </w:pPr>
      <w:r>
        <w:rPr>
          <w:rFonts w:ascii="Calibri" w:cs="Calibri" w:eastAsia="Calibri" w:hAnsi="Calibri"/>
          <w:b/>
          <w:bCs/>
          <w:color w:val="1A1814"/>
          <w:sz w:val="30"/>
          <w:szCs w:val="30"/>
        </w:rPr>
        <w:t xml:space="preserve">8. Implementation Plan</w:t>
      </w:r>
    </w:p>
    <w:p>
      <w:pPr>
        <w:spacing w:after="180" w:line="320"/>
        <w:jc w:val="both"/>
      </w:pPr>
      <w:r>
        <w:rPr>
          <w:rFonts w:ascii="Calibri" w:cs="Calibri" w:eastAsia="Calibri" w:hAnsi="Calibri"/>
          <w:color w:val="1A1814"/>
          <w:sz w:val="22"/>
          <w:szCs w:val="22"/>
        </w:rPr>
        <w:t xml:space="preserve">Estimated engineering effort: one to two days, once copy is approved. The bulk of the work is copy configuration, not new code.</w:t>
      </w:r>
    </w:p>
    <w:p>
      <w:pPr>
        <w:pStyle w:val="Heading3"/>
        <w:spacing w:after="100" w:before="200"/>
      </w:pPr>
      <w:r>
        <w:rPr>
          <w:rFonts w:ascii="Calibri" w:cs="Calibri" w:eastAsia="Calibri" w:hAnsi="Calibri"/>
          <w:b/>
          <w:bCs/>
          <w:i w:val="false"/>
          <w:iCs w:val="false"/>
          <w:color w:val="1A1814"/>
          <w:sz w:val="22"/>
          <w:szCs w:val="22"/>
        </w:rPr>
        <w:t xml:space="preserve">Files to touch</w:t>
      </w:r>
    </w:p>
    <w:p>
      <w:pPr>
        <w:pStyle w:val="ListParagraph"/>
        <w:numPr>
          <w:ilvl w:val="0"/>
          <w:numId w:val="2"/>
        </w:numPr>
        <w:spacing w:after="100" w:line="300"/>
      </w:pPr>
      <w:r>
        <w:rPr>
          <w:rFonts w:ascii="Calibri" w:cs="Calibri" w:eastAsia="Calibri" w:hAnsi="Calibri"/>
          <w:b/>
          <w:bCs/>
          <w:color w:val="1A1814"/>
          <w:sz w:val="22"/>
          <w:szCs w:val="22"/>
        </w:rPr>
        <w:t xml:space="preserve">src/components/home/hero/hero-audience-content.ts: </w:t>
      </w:r>
      <w:r>
        <w:rPr>
          <w:rFonts w:ascii="Calibri" w:cs="Calibri" w:eastAsia="Calibri" w:hAnsi="Calibri"/>
          <w:color w:val="1A1814"/>
          <w:sz w:val="22"/>
          <w:szCs w:val="22"/>
        </w:rPr>
        <w:t xml:space="preserve">extend HeroAudience with "businesses", add a HERO_AUDIENCE_CONTENT.businesses entry with the copy from Section 5.</w:t>
      </w:r>
    </w:p>
    <w:p>
      <w:pPr>
        <w:pStyle w:val="ListParagraph"/>
        <w:numPr>
          <w:ilvl w:val="0"/>
          <w:numId w:val="2"/>
        </w:numPr>
        <w:spacing w:after="100" w:line="300"/>
      </w:pPr>
      <w:r>
        <w:rPr>
          <w:rFonts w:ascii="Calibri" w:cs="Calibri" w:eastAsia="Calibri" w:hAnsi="Calibri"/>
          <w:b/>
          <w:bCs/>
          <w:color w:val="1A1814"/>
          <w:sz w:val="22"/>
          <w:szCs w:val="22"/>
        </w:rPr>
        <w:t xml:space="preserve">src/lib/marketing/site-nav.ts: </w:t>
      </w:r>
      <w:r>
        <w:rPr>
          <w:rFonts w:ascii="Calibri" w:cs="Calibri" w:eastAsia="Calibri" w:hAnsi="Calibri"/>
          <w:color w:val="1A1814"/>
          <w:sz w:val="22"/>
          <w:szCs w:val="22"/>
        </w:rPr>
        <w:t xml:space="preserve">add businesses to SITE_AUDIENCE_NAV with label "Businesses" and a test id.</w:t>
      </w:r>
    </w:p>
    <w:p>
      <w:pPr>
        <w:pStyle w:val="ListParagraph"/>
        <w:numPr>
          <w:ilvl w:val="0"/>
          <w:numId w:val="2"/>
        </w:numPr>
        <w:spacing w:after="100" w:line="300"/>
      </w:pPr>
      <w:r>
        <w:rPr>
          <w:rFonts w:ascii="Calibri" w:cs="Calibri" w:eastAsia="Calibri" w:hAnsi="Calibri"/>
          <w:b/>
          <w:bCs/>
          <w:color w:val="1A1814"/>
          <w:sz w:val="22"/>
          <w:szCs w:val="22"/>
        </w:rPr>
        <w:t xml:space="preserve">src/lib/marketing/friendly-urls.ts: </w:t>
      </w:r>
      <w:r>
        <w:rPr>
          <w:rFonts w:ascii="Calibri" w:cs="Calibri" w:eastAsia="Calibri" w:hAnsi="Calibri"/>
          <w:color w:val="1A1814"/>
          <w:sz w:val="22"/>
          <w:szCs w:val="22"/>
        </w:rPr>
        <w:t xml:space="preserve">extend heroAudiencePath / parseHeroAudienceParam / audience path resolution to handle "businesses" → "/businesses".</w:t>
      </w:r>
    </w:p>
    <w:p>
      <w:pPr>
        <w:pStyle w:val="ListParagraph"/>
        <w:numPr>
          <w:ilvl w:val="0"/>
          <w:numId w:val="2"/>
        </w:numPr>
        <w:spacing w:after="100" w:line="300"/>
      </w:pPr>
      <w:r>
        <w:rPr>
          <w:rFonts w:ascii="Calibri" w:cs="Calibri" w:eastAsia="Calibri" w:hAnsi="Calibri"/>
          <w:b/>
          <w:bCs/>
          <w:color w:val="1A1814"/>
          <w:sz w:val="22"/>
          <w:szCs w:val="22"/>
        </w:rPr>
        <w:t xml:space="preserve">src/app/businesses/page.tsx: </w:t>
      </w:r>
      <w:r>
        <w:rPr>
          <w:rFonts w:ascii="Calibri" w:cs="Calibri" w:eastAsia="Calibri" w:hAnsi="Calibri"/>
          <w:color w:val="1A1814"/>
          <w:sz w:val="22"/>
          <w:szCs w:val="22"/>
        </w:rPr>
        <w:t xml:space="preserve">new route that mirrors src/app/firms/page.tsx and renders &lt;HomePageContent initialAudience="businesses" /&gt;.</w:t>
      </w:r>
    </w:p>
    <w:p>
      <w:pPr>
        <w:pStyle w:val="ListParagraph"/>
        <w:numPr>
          <w:ilvl w:val="0"/>
          <w:numId w:val="2"/>
        </w:numPr>
        <w:spacing w:after="100" w:line="300"/>
      </w:pPr>
      <w:r>
        <w:rPr>
          <w:rFonts w:ascii="Calibri" w:cs="Calibri" w:eastAsia="Calibri" w:hAnsi="Calibri"/>
          <w:b/>
          <w:bCs/>
          <w:color w:val="1A1814"/>
          <w:sz w:val="22"/>
          <w:szCs w:val="22"/>
        </w:rPr>
        <w:t xml:space="preserve">src/components/marketing/HomePageContent.tsx: </w:t>
      </w:r>
      <w:r>
        <w:rPr>
          <w:rFonts w:ascii="Calibri" w:cs="Calibri" w:eastAsia="Calibri" w:hAnsi="Calibri"/>
          <w:color w:val="1A1814"/>
          <w:sz w:val="22"/>
          <w:szCs w:val="22"/>
        </w:rPr>
        <w:t xml:space="preserve">no structural change; verify all downstream components accept the new audience value and fall back cleanly.</w:t>
      </w:r>
    </w:p>
    <w:p>
      <w:pPr>
        <w:pStyle w:val="ListParagraph"/>
        <w:numPr>
          <w:ilvl w:val="0"/>
          <w:numId w:val="2"/>
        </w:numPr>
        <w:spacing w:after="100" w:line="300"/>
      </w:pPr>
      <w:r>
        <w:rPr>
          <w:rFonts w:ascii="Calibri" w:cs="Calibri" w:eastAsia="Calibri" w:hAnsi="Calibri"/>
          <w:b/>
          <w:bCs/>
          <w:color w:val="1A1814"/>
          <w:sz w:val="22"/>
          <w:szCs w:val="22"/>
        </w:rPr>
        <w:t xml:space="preserve">src/components/marketing/LandingOutcomesSection.tsx (and peers): </w:t>
      </w:r>
      <w:r>
        <w:rPr>
          <w:rFonts w:ascii="Calibri" w:cs="Calibri" w:eastAsia="Calibri" w:hAnsi="Calibri"/>
          <w:color w:val="1A1814"/>
          <w:sz w:val="22"/>
          <w:szCs w:val="22"/>
        </w:rPr>
        <w:t xml:space="preserve">add a businesses-specific copy variant where the current implementation switches on audience.</w:t>
      </w:r>
    </w:p>
    <w:p>
      <w:pPr>
        <w:pStyle w:val="ListParagraph"/>
        <w:numPr>
          <w:ilvl w:val="0"/>
          <w:numId w:val="2"/>
        </w:numPr>
        <w:spacing w:after="100" w:line="300"/>
      </w:pPr>
      <w:r>
        <w:rPr>
          <w:rFonts w:ascii="Calibri" w:cs="Calibri" w:eastAsia="Calibri" w:hAnsi="Calibri"/>
          <w:b/>
          <w:bCs/>
          <w:color w:val="1A1814"/>
          <w:sz w:val="22"/>
          <w:szCs w:val="22"/>
        </w:rPr>
        <w:t xml:space="preserve">src/components/marketing/MobileNavMenu.tsx: </w:t>
      </w:r>
      <w:r>
        <w:rPr>
          <w:rFonts w:ascii="Calibri" w:cs="Calibri" w:eastAsia="Calibri" w:hAnsi="Calibri"/>
          <w:color w:val="1A1814"/>
          <w:sz w:val="22"/>
          <w:szCs w:val="22"/>
        </w:rPr>
        <w:t xml:space="preserve">verify the new tab renders correctly in the mobile menu.</w:t>
      </w:r>
    </w:p>
    <w:p>
      <w:pPr>
        <w:pStyle w:val="ListParagraph"/>
        <w:numPr>
          <w:ilvl w:val="0"/>
          <w:numId w:val="2"/>
        </w:numPr>
        <w:spacing w:after="100" w:line="300"/>
      </w:pPr>
      <w:r>
        <w:rPr>
          <w:rFonts w:ascii="Calibri" w:cs="Calibri" w:eastAsia="Calibri" w:hAnsi="Calibri"/>
          <w:b/>
          <w:bCs/>
          <w:color w:val="1A1814"/>
          <w:sz w:val="22"/>
          <w:szCs w:val="22"/>
        </w:rPr>
        <w:t xml:space="preserve">src/app/sitemap.ts and llms.txt: </w:t>
      </w:r>
      <w:r>
        <w:rPr>
          <w:rFonts w:ascii="Calibri" w:cs="Calibri" w:eastAsia="Calibri" w:hAnsi="Calibri"/>
          <w:color w:val="1A1814"/>
          <w:sz w:val="22"/>
          <w:szCs w:val="22"/>
        </w:rPr>
        <w:t xml:space="preserve">add /businesses to sitemap and llms discovery.</w:t>
      </w:r>
    </w:p>
    <w:p>
      <w:pPr>
        <w:pStyle w:val="Heading3"/>
        <w:spacing w:after="100" w:before="200"/>
      </w:pPr>
      <w:r>
        <w:rPr>
          <w:rFonts w:ascii="Calibri" w:cs="Calibri" w:eastAsia="Calibri" w:hAnsi="Calibri"/>
          <w:b/>
          <w:bCs/>
          <w:i w:val="false"/>
          <w:iCs w:val="false"/>
          <w:color w:val="1A1814"/>
          <w:sz w:val="22"/>
          <w:szCs w:val="22"/>
        </w:rPr>
        <w:t xml:space="preserve">Out of scope for the marketing tab</w:t>
      </w:r>
    </w:p>
    <w:p>
      <w:pPr>
        <w:pStyle w:val="ListParagraph"/>
        <w:numPr>
          <w:ilvl w:val="0"/>
          <w:numId w:val="2"/>
        </w:numPr>
        <w:spacing w:after="100" w:line="300"/>
      </w:pPr>
      <w:r>
        <w:rPr>
          <w:rFonts w:ascii="Calibri" w:cs="Calibri" w:eastAsia="Calibri" w:hAnsi="Calibri"/>
          <w:color w:val="1A1814"/>
          <w:sz w:val="22"/>
          <w:szCs w:val="22"/>
        </w:rPr>
        <w:t xml:space="preserve">No changes to the assessment engine, scoring model, question bank, or recommendation rules.</w:t>
      </w:r>
    </w:p>
    <w:p>
      <w:pPr>
        <w:pStyle w:val="ListParagraph"/>
        <w:numPr>
          <w:ilvl w:val="0"/>
          <w:numId w:val="2"/>
        </w:numPr>
        <w:spacing w:after="100" w:line="300"/>
      </w:pPr>
      <w:r>
        <w:rPr>
          <w:rFonts w:ascii="Calibri" w:cs="Calibri" w:eastAsia="Calibri" w:hAnsi="Calibri"/>
          <w:color w:val="1A1814"/>
          <w:sz w:val="22"/>
          <w:szCs w:val="22"/>
        </w:rPr>
        <w:t xml:space="preserve">No changes to authentication, role model, or subdomain behavior.</w:t>
      </w:r>
    </w:p>
    <w:p>
      <w:pPr>
        <w:pStyle w:val="ListParagraph"/>
        <w:numPr>
          <w:ilvl w:val="0"/>
          <w:numId w:val="2"/>
        </w:numPr>
        <w:spacing w:after="100" w:line="300"/>
      </w:pPr>
      <w:r>
        <w:rPr>
          <w:rFonts w:ascii="Calibri" w:cs="Calibri" w:eastAsia="Calibri" w:hAnsi="Calibri"/>
          <w:color w:val="1A1814"/>
          <w:sz w:val="22"/>
          <w:szCs w:val="22"/>
        </w:rPr>
        <w:t xml:space="preserve">No new database migrations.</w:t>
      </w:r>
    </w:p>
    <w:p>
      <w:pPr>
        <w:pStyle w:val="ListParagraph"/>
        <w:numPr>
          <w:ilvl w:val="0"/>
          <w:numId w:val="2"/>
        </w:numPr>
        <w:spacing w:after="100" w:line="300"/>
      </w:pPr>
      <w:r>
        <w:rPr>
          <w:rFonts w:ascii="Calibri" w:cs="Calibri" w:eastAsia="Calibri" w:hAnsi="Calibri"/>
          <w:color w:val="1A1814"/>
          <w:sz w:val="22"/>
          <w:szCs w:val="22"/>
        </w:rPr>
        <w:t xml:space="preserve">No changes to /contact/enterprise itself — the tab points at it, does not modify it. If enterprise contact needs a business-flavored variant, that is a follow-on ticket.</w:t>
      </w:r>
    </w:p>
    <w:p>
      <w:pPr>
        <w:pStyle w:val="Heading3"/>
        <w:spacing w:after="100" w:before="200"/>
      </w:pPr>
      <w:r>
        <w:rPr>
          <w:rFonts w:ascii="Calibri" w:cs="Calibri" w:eastAsia="Calibri" w:hAnsi="Calibri"/>
          <w:b/>
          <w:bCs/>
          <w:i w:val="false"/>
          <w:iCs w:val="false"/>
          <w:color w:val="1A1814"/>
          <w:sz w:val="22"/>
          <w:szCs w:val="22"/>
        </w:rPr>
        <w:t xml:space="preserve">QA checklist</w:t>
      </w:r>
    </w:p>
    <w:p>
      <w:pPr>
        <w:pStyle w:val="ListParagraph"/>
        <w:numPr>
          <w:ilvl w:val="0"/>
          <w:numId w:val="2"/>
        </w:numPr>
        <w:spacing w:after="100" w:line="300"/>
      </w:pPr>
      <w:r>
        <w:rPr>
          <w:rFonts w:ascii="Calibri" w:cs="Calibri" w:eastAsia="Calibri" w:hAnsi="Calibri"/>
          <w:color w:val="1A1814"/>
          <w:sz w:val="22"/>
          <w:szCs w:val="22"/>
        </w:rPr>
        <w:t xml:space="preserve">/businesses renders correctly on desktop, tablet, mobile, and dark mode if applicable.</w:t>
      </w:r>
    </w:p>
    <w:p>
      <w:pPr>
        <w:pStyle w:val="ListParagraph"/>
        <w:numPr>
          <w:ilvl w:val="0"/>
          <w:numId w:val="2"/>
        </w:numPr>
        <w:spacing w:after="100" w:line="300"/>
      </w:pPr>
      <w:r>
        <w:rPr>
          <w:rFonts w:ascii="Calibri" w:cs="Calibri" w:eastAsia="Calibri" w:hAnsi="Calibri"/>
          <w:color w:val="1A1814"/>
          <w:sz w:val="22"/>
          <w:szCs w:val="22"/>
        </w:rPr>
        <w:t xml:space="preserve">The Businesses tab is visible and functional in the marketing header on every marketing route.</w:t>
      </w:r>
    </w:p>
    <w:p>
      <w:pPr>
        <w:pStyle w:val="ListParagraph"/>
        <w:numPr>
          <w:ilvl w:val="0"/>
          <w:numId w:val="2"/>
        </w:numPr>
        <w:spacing w:after="100" w:line="300"/>
      </w:pPr>
      <w:r>
        <w:rPr>
          <w:rFonts w:ascii="Calibri" w:cs="Calibri" w:eastAsia="Calibri" w:hAnsi="Calibri"/>
          <w:color w:val="1A1814"/>
          <w:sz w:val="22"/>
          <w:szCs w:val="22"/>
        </w:rPr>
        <w:t xml:space="preserve">SEO metadata (title, description, canonical) matches the pattern used by /families and /firms.</w:t>
      </w:r>
    </w:p>
    <w:p>
      <w:pPr>
        <w:pStyle w:val="ListParagraph"/>
        <w:numPr>
          <w:ilvl w:val="0"/>
          <w:numId w:val="2"/>
        </w:numPr>
        <w:spacing w:after="100" w:line="300"/>
      </w:pPr>
      <w:r>
        <w:rPr>
          <w:rFonts w:ascii="Calibri" w:cs="Calibri" w:eastAsia="Calibri" w:hAnsi="Calibri"/>
          <w:color w:val="1A1814"/>
          <w:sz w:val="22"/>
          <w:szCs w:val="22"/>
        </w:rPr>
        <w:t xml:space="preserve">Both CTAs route correctly (demo → /contact/demo, sales → /contact/enterprise).</w:t>
      </w:r>
    </w:p>
    <w:p>
      <w:pPr>
        <w:pStyle w:val="ListParagraph"/>
        <w:numPr>
          <w:ilvl w:val="0"/>
          <w:numId w:val="2"/>
        </w:numPr>
        <w:spacing w:after="100" w:line="300"/>
      </w:pPr>
      <w:r>
        <w:rPr>
          <w:rFonts w:ascii="Calibri" w:cs="Calibri" w:eastAsia="Calibri" w:hAnsi="Calibri"/>
          <w:color w:val="1A1814"/>
          <w:sz w:val="22"/>
          <w:szCs w:val="22"/>
        </w:rPr>
        <w:t xml:space="preserve">Playwright coverage: add a smoke test that /businesses loads, the hero renders, and the two CTAs are clickable.</w:t>
      </w:r>
    </w:p>
    <w:p>
      <w:pPr>
        <w:pStyle w:val="Heading1"/>
        <w:spacing w:after="200" w:before="320"/>
      </w:pPr>
      <w:r>
        <w:rPr>
          <w:rFonts w:ascii="Calibri" w:cs="Calibri" w:eastAsia="Calibri" w:hAnsi="Calibri"/>
          <w:b/>
          <w:bCs/>
          <w:color w:val="1A1814"/>
          <w:sz w:val="30"/>
          <w:szCs w:val="30"/>
        </w:rPr>
        <w:t xml:space="preserve">9. Open Questions and TBDs</w:t>
      </w:r>
    </w:p>
    <w:p>
      <w:pPr>
        <w:spacing w:after="180" w:line="320"/>
        <w:jc w:val="both"/>
      </w:pPr>
      <w:r>
        <w:rPr>
          <w:rFonts w:ascii="Calibri" w:cs="Calibri" w:eastAsia="Calibri" w:hAnsi="Calibri"/>
          <w:color w:val="1A1814"/>
          <w:sz w:val="22"/>
          <w:szCs w:val="22"/>
        </w:rPr>
        <w:t xml:space="preserve">The items below need a stakeholder decision before this plan can execute cleanly. None of them block starting the copy or the code — they are the choices that shape what "done" looks like.</w:t>
      </w:r>
    </w:p>
    <w:p>
      <w:pPr>
        <w:pStyle w:val="Heading3"/>
        <w:spacing w:after="100" w:before="200"/>
      </w:pPr>
      <w:r>
        <w:rPr>
          <w:rFonts w:ascii="Calibri" w:cs="Calibri" w:eastAsia="Calibri" w:hAnsi="Calibri"/>
          <w:b/>
          <w:bCs/>
          <w:i w:val="false"/>
          <w:iCs w:val="false"/>
          <w:color w:val="1A1814"/>
          <w:sz w:val="22"/>
          <w:szCs w:val="22"/>
        </w:rPr>
        <w:t xml:space="preserve">9.1 Which segment of the business market are we speaking to?</w:t>
      </w:r>
    </w:p>
    <w:p>
      <w:pPr>
        <w:spacing w:after="180" w:line="320"/>
        <w:jc w:val="both"/>
      </w:pPr>
      <w:r>
        <w:rPr>
          <w:rFonts w:ascii="Calibri" w:cs="Calibri" w:eastAsia="Calibri" w:hAnsi="Calibri"/>
          <w:color w:val="1A1814"/>
          <w:sz w:val="22"/>
          <w:szCs w:val="22"/>
        </w:rPr>
        <w:t xml:space="preserve">This document defaults to mid-market and enterprise (500–10,000 employees, named risk function). If Akili wants to lead with a smaller-business segment, the tone, the pricing hint, and probably the CTA all change — SMB buyers want self-serve pricing and a low-friction trial, not "talk to sales." Please confirm the primary segment before copy is finalized.</w:t>
      </w:r>
    </w:p>
    <w:p>
      <w:pPr>
        <w:pStyle w:val="Heading3"/>
        <w:spacing w:after="100" w:before="200"/>
      </w:pPr>
      <w:r>
        <w:rPr>
          <w:rFonts w:ascii="Calibri" w:cs="Calibri" w:eastAsia="Calibri" w:hAnsi="Calibri"/>
          <w:b/>
          <w:bCs/>
          <w:i w:val="false"/>
          <w:iCs w:val="false"/>
          <w:color w:val="1A1814"/>
          <w:sz w:val="22"/>
          <w:szCs w:val="22"/>
        </w:rPr>
        <w:t xml:space="preserve">9.2 Public pricing on the page, or gated behind contact?</w:t>
      </w:r>
    </w:p>
    <w:p>
      <w:pPr>
        <w:spacing w:after="180" w:line="320"/>
        <w:jc w:val="both"/>
      </w:pPr>
      <w:r>
        <w:rPr>
          <w:rFonts w:ascii="Calibri" w:cs="Calibri" w:eastAsia="Calibri" w:hAnsi="Calibri"/>
          <w:color w:val="1A1814"/>
          <w:sz w:val="22"/>
          <w:szCs w:val="22"/>
        </w:rPr>
        <w:t xml:space="preserve">Default recommendation is gated behind /contact/enterprise. This is the standard mid-market and enterprise pattern, and it lets Akili scope pricing to the actual complexity of the environment. Publishing pricing would only be advisable if Akili has a productized business tier at a fixed price.</w:t>
      </w:r>
    </w:p>
    <w:p>
      <w:pPr>
        <w:pStyle w:val="Heading3"/>
        <w:spacing w:after="100" w:before="200"/>
      </w:pPr>
      <w:r>
        <w:rPr>
          <w:rFonts w:ascii="Calibri" w:cs="Calibri" w:eastAsia="Calibri" w:hAnsi="Calibri"/>
          <w:b/>
          <w:bCs/>
          <w:i w:val="false"/>
          <w:iCs w:val="false"/>
          <w:color w:val="1A1814"/>
          <w:sz w:val="22"/>
          <w:szCs w:val="22"/>
        </w:rPr>
        <w:t xml:space="preserve">9.3 Named customers for the social proof slate</w:t>
      </w:r>
    </w:p>
    <w:p>
      <w:pPr>
        <w:spacing w:after="180" w:line="320"/>
        <w:jc w:val="both"/>
      </w:pPr>
      <w:r>
        <w:rPr>
          <w:rFonts w:ascii="Calibri" w:cs="Calibri" w:eastAsia="Calibri" w:hAnsi="Calibri"/>
          <w:color w:val="1A1814"/>
          <w:sz w:val="22"/>
          <w:szCs w:val="22"/>
        </w:rPr>
        <w:t xml:space="preserve">Which existing customers, if any, are willing to be named on the page? Are any current pilot deployments willing to become a named case study? Without this, the social-proof slate ships as a placeholder — which is fine at launch, but should not stay that way beyond the first sixty days.</w:t>
      </w:r>
    </w:p>
    <w:p>
      <w:pPr>
        <w:pStyle w:val="Heading3"/>
        <w:spacing w:after="100" w:before="200"/>
      </w:pPr>
      <w:r>
        <w:rPr>
          <w:rFonts w:ascii="Calibri" w:cs="Calibri" w:eastAsia="Calibri" w:hAnsi="Calibri"/>
          <w:b/>
          <w:bCs/>
          <w:i w:val="false"/>
          <w:iCs w:val="false"/>
          <w:color w:val="1A1814"/>
          <w:sz w:val="22"/>
          <w:szCs w:val="22"/>
        </w:rPr>
        <w:t xml:space="preserve">9.4 CTA target and lead capture</w:t>
      </w:r>
    </w:p>
    <w:p>
      <w:pPr>
        <w:spacing w:after="180" w:line="320"/>
        <w:jc w:val="both"/>
      </w:pPr>
      <w:r>
        <w:rPr>
          <w:rFonts w:ascii="Calibri" w:cs="Calibri" w:eastAsia="Calibri" w:hAnsi="Calibri"/>
          <w:color w:val="1A1814"/>
          <w:sz w:val="22"/>
          <w:szCs w:val="22"/>
        </w:rPr>
        <w:t xml:space="preserve">Confirm that /contact/demo and /contact/enterprise are the correct targets, and whether those forms already capture the fields a business-buyer inquiry needs (company name, employee count, industry, current risk tooling). If not, either extend the existing forms or spin up a business-specific intent path.</w:t>
      </w:r>
    </w:p>
    <w:p>
      <w:pPr>
        <w:pStyle w:val="Heading3"/>
        <w:spacing w:after="100" w:before="200"/>
      </w:pPr>
      <w:r>
        <w:rPr>
          <w:rFonts w:ascii="Calibri" w:cs="Calibri" w:eastAsia="Calibri" w:hAnsi="Calibri"/>
          <w:b/>
          <w:bCs/>
          <w:i w:val="false"/>
          <w:iCs w:val="false"/>
          <w:color w:val="1A1814"/>
          <w:sz w:val="22"/>
          <w:szCs w:val="22"/>
        </w:rPr>
        <w:t xml:space="preserve">9.5 Marketing-only, or is a business-mode product change also needed?</w:t>
      </w:r>
    </w:p>
    <w:p>
      <w:pPr>
        <w:spacing w:after="180" w:line="320"/>
        <w:jc w:val="both"/>
      </w:pPr>
      <w:r>
        <w:rPr>
          <w:rFonts w:ascii="Calibri" w:cs="Calibri" w:eastAsia="Calibri" w:hAnsi="Calibri"/>
          <w:color w:val="1A1814"/>
          <w:sz w:val="22"/>
          <w:szCs w:val="22"/>
        </w:rPr>
        <w:t xml:space="preserve">This plan assumes the underlying product does not need any changes to support a business audience — the ten pillars work as-is, the question bank works as-is, and the enterprise category grouping is presentation only. If Akili wants a distinct business-mode toggle in the product (different question phrasing per context, different scoring weights, a Business-only pillar set), that is a separate and much larger workstream and should be scoped as its own plan.</w:t>
      </w:r>
    </w:p>
    <w:p>
      <w:pPr>
        <w:pStyle w:val="Heading1"/>
        <w:spacing w:after="200" w:before="320"/>
      </w:pPr>
      <w:r>
        <w:rPr>
          <w:rFonts w:ascii="Calibri" w:cs="Calibri" w:eastAsia="Calibri" w:hAnsi="Calibri"/>
          <w:b/>
          <w:bCs/>
          <w:color w:val="1A1814"/>
          <w:sz w:val="30"/>
          <w:szCs w:val="30"/>
        </w:rPr>
        <w:t xml:space="preserve">10. Summary</w:t>
      </w:r>
    </w:p>
    <w:p>
      <w:pPr>
        <w:spacing w:after="180" w:line="320"/>
        <w:jc w:val="both"/>
      </w:pPr>
      <w:r>
        <w:rPr>
          <w:rFonts w:ascii="Calibri" w:cs="Calibri" w:eastAsia="Calibri" w:hAnsi="Calibri"/>
          <w:color w:val="1A1814"/>
          <w:sz w:val="22"/>
          <w:szCs w:val="22"/>
        </w:rPr>
        <w:t xml:space="preserve">The For Businesses tab is a low-risk, low-cost positioning bet on a market that Akili is already methodologically equipped to serve. The plan requires no product changes, no methodology changes, and no new infrastructure — only a new audience surface on the existing marketing site and a copy layer that reframes the platform in enterprise vocabulary.</w:t>
      </w:r>
    </w:p>
    <w:p>
      <w:pPr>
        <w:spacing w:after="180" w:line="320"/>
        <w:jc w:val="both"/>
      </w:pPr>
      <w:r>
        <w:rPr>
          <w:rFonts w:ascii="Calibri" w:cs="Calibri" w:eastAsia="Calibri" w:hAnsi="Calibri"/>
          <w:color w:val="1A1814"/>
          <w:sz w:val="22"/>
          <w:szCs w:val="22"/>
        </w:rPr>
        <w:t xml:space="preserve">The single decision that most shapes the outcome is the segment choice in §9.1. Every other open question is downstream of that one. Once the segment is confirmed and the copy in Section 5 is reviewed, engineering can land the tab in one to two days.</w:t>
      </w:r>
    </w:p>
    <w:p>
      <w:pPr>
        <w:spacing w:after="160" w:before="300" w:line="300"/>
        <w:jc w:val="center"/>
      </w:pPr>
      <w:r>
        <w:rPr>
          <w:rFonts w:ascii="Calibri" w:cs="Calibri" w:eastAsia="Calibri" w:hAnsi="Calibri"/>
          <w:i/>
          <w:iCs/>
          <w:color w:val="8C6A2F"/>
          <w:sz w:val="22"/>
          <w:szCs w:val="22"/>
        </w:rPr>
        <w:t xml:space="preserve">— end —</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BFA8" w:sz="4" w:space="4"/>
      </w:pBdr>
      <w:spacing w:before="60"/>
      <w:jc w:val="center"/>
    </w:pPr>
    <w:r>
      <w:rPr>
        <w:rFonts w:ascii="Calibri" w:cs="Calibri" w:eastAsia="Calibri" w:hAnsi="Calibri"/>
        <w:color w:val="1A1814"/>
        <w:sz w:val="16"/>
        <w:szCs w:val="16"/>
      </w:rPr>
      <w:t xml:space="preserve">Akili Risk  ·  For Businesses Tab Plan  ·  July 2026  ·  Page </w:t>
    </w:r>
    <w:r>
      <w:rPr>
        <w:rFonts w:ascii="Calibri" w:cs="Calibri" w:eastAsia="Calibri" w:hAnsi="Calibri"/>
        <w:color w:val="1A1814"/>
        <w:sz w:val="16"/>
        <w:szCs w:val="16"/>
      </w:rPr>
      <w:fldChar w:fldCharType="begin"/>
      <w:instrText xml:space="preserve">PAGE</w:instrText>
      <w:fldChar w:fldCharType="separate"/>
      <w:fldChar w:fldCharType="end"/>
    </w:r>
    <w:r>
      <w:rPr>
        <w:rFonts w:ascii="Calibri" w:cs="Calibri" w:eastAsia="Calibri" w:hAnsi="Calibri"/>
        <w:color w:val="1A1814"/>
        <w:sz w:val="16"/>
        <w:szCs w:val="16"/>
      </w:rPr>
      <w:t xml:space="preserve"> of </w:t>
    </w:r>
    <w:r>
      <w:rPr>
        <w:rFonts w:ascii="Calibri" w:cs="Calibri" w:eastAsia="Calibri" w:hAnsi="Calibri"/>
        <w:color w:val="1A181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FA8" w:sz="4" w:space="4"/>
      </w:pBdr>
      <w:spacing w:after="60"/>
      <w:jc w:val="left"/>
    </w:pPr>
    <w:r>
      <w:rPr>
        <w:rFonts w:ascii="Calibri" w:cs="Calibri" w:eastAsia="Calibri" w:hAnsi="Calibri"/>
        <w:b/>
        <w:bCs/>
        <w:color w:val="1A1814"/>
        <w:sz w:val="18"/>
        <w:szCs w:val="18"/>
      </w:rPr>
      <w:t xml:space="preserve">AKILI RISK  </w:t>
    </w:r>
    <w:r>
      <w:rPr>
        <w:rFonts w:ascii="Calibri" w:cs="Calibri" w:eastAsia="Calibri" w:hAnsi="Calibri"/>
        <w:color w:val="1A1814"/>
        <w:sz w:val="18"/>
        <w:szCs w:val="18"/>
      </w:rPr>
      <w:t xml:space="preserve">For Businesses — Marketing Tab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8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20"/>
    </w:pPr>
    <w:rPr>
      <w:rFonts w:ascii="Calibri" w:cs="Calibri" w:eastAsia="Calibri" w:hAnsi="Calibri"/>
      <w:b/>
      <w:bCs/>
      <w:color w:val="1A1814"/>
      <w:sz w:val="30"/>
      <w:szCs w:val="30"/>
    </w:rPr>
  </w:style>
  <w:style w:type="paragraph" w:styleId="Heading2">
    <w:name w:val="Heading 2"/>
    <w:basedOn w:val="Normal"/>
    <w:next w:val="Normal"/>
    <w:qFormat/>
    <w:pPr>
      <w:spacing w:after="140" w:before="260"/>
    </w:pPr>
    <w:rPr>
      <w:rFonts w:ascii="Calibri" w:cs="Calibri" w:eastAsia="Calibri" w:hAnsi="Calibri"/>
      <w:b/>
      <w:bCs/>
      <w:color w:val="1A1814"/>
      <w:sz w:val="26"/>
      <w:szCs w:val="26"/>
    </w:rPr>
  </w:style>
  <w:style w:type="paragraph" w:styleId="Heading3">
    <w:name w:val="Heading 3"/>
    <w:basedOn w:val="Normal"/>
    <w:next w:val="Normal"/>
    <w:qFormat/>
    <w:pPr>
      <w:spacing w:after="100" w:before="200"/>
    </w:pPr>
    <w:rPr>
      <w:rFonts w:ascii="Calibri" w:cs="Calibri" w:eastAsia="Calibri" w:hAnsi="Calibri"/>
      <w:b/>
      <w:bCs/>
      <w:color w:val="1A181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Akili Risk — For Businesses Tab Plan</dc:title>
  <dc:creator>Akili Risk</dc:creator>
  <dc:description>Plan for adding a For Businesses audience tab to the Akili Risk marketing site.</dc:description>
  <cp:lastModifiedBy>Un-named</cp:lastModifiedBy>
  <cp:revision>1</cp:revision>
  <dcterms:created xsi:type="dcterms:W3CDTF">2026-07-26T16:49:06.303Z</dcterms:created>
  <dcterms:modified xsi:type="dcterms:W3CDTF">2026-07-26T16:49:06.303Z</dcterms:modified>
</cp:coreProperties>
</file>

<file path=docProps/custom.xml><?xml version="1.0" encoding="utf-8"?>
<Properties xmlns="http://schemas.openxmlformats.org/officeDocument/2006/custom-properties" xmlns:vt="http://schemas.openxmlformats.org/officeDocument/2006/docPropsVTypes"/>
</file>