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 standalone="yes"?>
<w:document xmlns:w="http://schemas.openxmlformats.org/wordprocessingml/2006/main">
  <w:body>
    <w:p>
      <w:r>
        <w:t xml:space="preserve">{familyName} Family Access Controls Policy

Assessment Date: {assessmentDate}
Overall Governance Score: {overallScore}/10 ({riskLevel} risk)
Category Score: {categoryScore}/10 ({categoryRiskLevel} risk)

INFORMATION SECURITY & ACCESS MANAGEMENT

This policy defines asset access tiers and approval workflows for the {familyName} family.

RESPONSIBLE PARTIES:
Primary Authority: {householdHead}
Access Approval Authority: {decisionMakers}

IDENTIFIED GAPS TO ADDRESS:
{#gaps}• {description} - {severity} Priority
  Recommendation: {recommendation}

{/gaps}

STRENGTHS TO MAINTAIN:
{#strengths}• {.}
{/strengths}

RECOMMENDATIONS FOR IMPLEMENTATION:
{#recommendations}• {.}
{/recommendations}

ACCESS CONTROL FRAMEWORK:
1. Asset access tier definitions and restrictions
2. Approval workflow requirements by asset type
   Approving authorities: {decisionMakers}
3. Information sharing protocols and confidentiality
4. Digital access management and security measures</w:t>
      </w:r>
    </w:p>
  </w:body>
</w:document>
</file>