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{familyName} Family Behavior Standards Policy
Assessment Date: {assessmentDate}
Overall Governance Score: {overallScore}/10 ({riskLevel} risk)
Category Score: {categoryScore}/10 ({categoryRiskLevel} risk)
FAMILY CODE OF CONDUCT
This policy defines behavior expectations and public representation standards for the {familyName} family.
RESPONSIBLE PARTIES:
Family Governance Lead: {householdHead}
IDENTIFIED GAPS TO ADDRESS:
{#gaps}• {description} - {severity} Priority
  Recommendation: {recommendation}
{/gaps}
STRENGTHS TO MAINTAIN:
{#strengths}• {.}
{/strengths}
RECOMMENDATIONS FOR IMPLEMENTATION:
{#recommendations}• {.}
{/recommendations}
BEHAVIOR STANDARDS FRAMEWORK:
1. Family code of conduct and core values
2. Social media guidelines and digital presence
3. Public representation and media interaction rules
4. Consequence framework for policy violations</w:t>
      </w:r>
    </w:p>
  </w:body>
</w:document>
</file>