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{familyName} Family Business Governance Policy
Assessment Date: {assessmentDate}
Overall Governance Score: {overallScore}/10 ({riskLevel} risk)
Category Score: {categoryScore}/10 ({categoryRiskLevel} risk)
FAMILY BUSINESS GOVERNANCE STRUCTURE
This policy establishes governance framework for family business operations and oversight.
RESPONSIBLE PARTIES:
Primary Authority: {householdHead}
Board Members: {decisionMakers}
Advisory Board: {advisors}
IDENTIFIED GAPS TO ADDRESS:
{#gaps}• {description} - {severity} Priority
  Recommendation: {recommendation}
{/gaps}
STRENGTHS TO MAINTAIN:
{#strengths}• {.}
{/strengths}
RECOMMENDATIONS FOR IMPLEMENTATION:
{#recommendations}• {.}
{/recommendations}
BUSINESS GOVERNANCE FRAMEWORK:
1. Board structure and family/independent director balance
   Family board members: {decisionMakers}
   Advisory board members: {advisors}
2. Family employment policies and merit requirements
3. Compensation transparency and fairness principles
4. Conflict of interest policies and disclosure requirements</w:t>
      </w:r>
    </w:p>
  </w:body>
</w:document>
</file>