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<w:p>
      <w:r>
        <w:t xml:space="preserve">{familyName} Trust & Estate Governance Policy

Assessment Date: {assessmentDate}
Overall Governance Score: {overallScore}/10 ({riskLevel} risk)
Category Score: {categoryScore}/10 ({categoryRiskLevel} risk)

TRUST & ESTATE STRUCTURE GOVERNANCE

This policy outlines trustee responsibilities and beneficiary rights for the {familyName} family trust structures.

RESPONSIBLE PARTIES:
Primary Authority: {householdHead}
Designated Trustees: {trustees}
Beneficiaries: {beneficiaries}

IDENTIFIED GAPS TO ADDRESS:
{#gaps}• {description} - {severity} Priority
  Recommendation: {recommendation}

{/gaps}

STRENGTHS TO MAINTAIN:
{#strengths}• {.}
{/strengths}

RECOMMENDATIONS FOR IMPLEMENTATION:
{#recommendations}• {.}
{/recommendations}

TRUST GOVERNANCE FRAMEWORK:
1. Trustee duties, powers, and accountability measures
   Trustees: {trustees}
2. Beneficiary rights and communication requirements
   Beneficiaries: {beneficiaries}
3. Distribution decision criteria and procedures
4. Trust review schedule and performance evaluation</w:t>
      </w:r>
    </w:p>
  </w:body>
</w:document>
</file>