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Calibri" w:cs="Calibri" w:eastAsia="Calibri" w:hAnsi="Calibri"/>
          <w:b/>
          <w:bCs/>
          <w:color w:val="1A1814"/>
          <w:sz w:val="44"/>
          <w:szCs w:val="44"/>
        </w:rPr>
        <w:t xml:space="preserve">AKILI RISK</w:t>
      </w:r>
    </w:p>
    <w:p>
      <w:pPr>
        <w:spacing w:after="200"/>
        <w:jc w:val="left"/>
      </w:pPr>
      <w:r>
        <w:rPr>
          <w:rFonts w:ascii="Calibri" w:cs="Calibri" w:eastAsia="Calibri" w:hAnsi="Calibri"/>
          <w:b/>
          <w:bCs/>
          <w:color w:val="1A1814"/>
          <w:sz w:val="36"/>
          <w:szCs w:val="36"/>
        </w:rPr>
        <w:t xml:space="preserve">New Audience Tabs — Marketing Plan</w:t>
      </w:r>
    </w:p>
    <w:p>
      <w:pPr>
        <w:spacing w:after="400"/>
        <w:jc w:val="left"/>
      </w:pPr>
      <w:r>
        <w:rPr>
          <w:rFonts w:ascii="Calibri" w:cs="Calibri" w:eastAsia="Calibri" w:hAnsi="Calibri"/>
          <w:i/>
          <w:iCs/>
          <w:color w:val="1A1814"/>
          <w:sz w:val="24"/>
          <w:szCs w:val="24"/>
        </w:rPr>
        <w:t xml:space="preserve">Two new marketing surfaces — For Organizations and For Practitioners — one methodology</w:t>
      </w:r>
    </w:p>
    <w:p>
      <w:pPr>
        <w:pBdr>
          <w:bottom w:val="single" w:color="C9BFA8" w:sz="6" w:space="1"/>
        </w:pBdr>
        <w:spacing w:after="200" w:before="120"/>
      </w:pPr>
      <w:r>
        <w:t xml:space="preserve"/>
      </w:r>
    </w:p>
    <w:p>
      <w:pPr>
        <w:spacing w:after="320" w:before="0" w:line="280"/>
      </w:pPr>
      <w:r>
        <w:rPr>
          <w:rFonts w:ascii="Calibri" w:cs="Calibri" w:eastAsia="Calibri" w:hAnsi="Calibri"/>
          <w:color w:val="1A1814"/>
          <w:sz w:val="22"/>
          <w:szCs w:val="22"/>
        </w:rPr>
        <w:t xml:space="preserve">Plan for adding two new audience tabs to the Akili Risk marketing site alongside the existing For Families and For Firms tabs. For Organizations serves small businesses, non-profits, and NGOs assessing themselves. For Practitioners serves consultants, fractional executives, tax professionals, and compliance consultants running assessments on behalf of their clients. Both tabs are fully self-serve, both use the same underlying assessment methodology, and neither requires any product changes.</w:t>
      </w:r>
    </w:p>
    <w:p>
      <w:pPr>
        <w:spacing w:after="100" w:before="0" w:line="280"/>
      </w:pPr>
      <w:r>
        <w:rPr>
          <w:rFonts w:ascii="Calibri" w:cs="Calibri" w:eastAsia="Calibri" w:hAnsi="Calibri"/>
          <w:b/>
          <w:bCs/>
          <w:color w:val="1A1814"/>
          <w:sz w:val="22"/>
          <w:szCs w:val="22"/>
        </w:rPr>
        <w:t xml:space="preserve">Prepared July 26, 2026</w:t>
      </w:r>
    </w:p>
    <w:p>
      <w:pPr>
        <w:spacing w:after="100" w:before="0" w:line="280"/>
      </w:pPr>
      <w:r>
        <w:rPr>
          <w:rFonts w:ascii="Calibri" w:cs="Calibri" w:eastAsia="Calibri" w:hAnsi="Calibri"/>
          <w:b/>
          <w:bCs/>
          <w:color w:val="1A1814"/>
          <w:sz w:val="22"/>
          <w:szCs w:val="22"/>
        </w:rPr>
        <w:t xml:space="preserve">Version 4.0</w:t>
      </w:r>
    </w:p>
    <w:p>
      <w:pPr>
        <w:spacing w:after="100" w:before="0" w:line="280"/>
      </w:pPr>
      <w:r>
        <w:rPr>
          <w:rFonts w:ascii="Calibri" w:cs="Calibri" w:eastAsia="Calibri" w:hAnsi="Calibri"/>
          <w:i/>
          <w:iCs/>
          <w:color w:val="1A1814"/>
          <w:sz w:val="22"/>
          <w:szCs w:val="22"/>
        </w:rPr>
        <w:t xml:space="preserve">Supersedes v3.0 — restructured from a single dual-audience tab to two separate audience tabs</w:t>
      </w:r>
    </w:p>
    <w:p>
      <w:pPr>
        <w:spacing w:after="100" w:before="0" w:line="280"/>
      </w:pPr>
      <w:r>
        <w:rPr>
          <w:rFonts w:ascii="Calibri" w:cs="Calibri" w:eastAsia="Calibri" w:hAnsi="Calibri"/>
          <w:i/>
          <w:iCs/>
          <w:color w:val="1A1814"/>
          <w:sz w:val="22"/>
          <w:szCs w:val="22"/>
        </w:rPr>
        <w:t xml:space="preserve">Audience: marketing, product, and engineering stakeholders</w:t>
      </w:r>
    </w:p>
    <w:p>
      <w:r>
        <w:br w:type="page"/>
      </w:r>
    </w:p>
    <w:p>
      <w:pPr>
        <w:spacing w:after="200"/>
      </w:pPr>
      <w:r>
        <w:rPr>
          <w:rFonts w:ascii="Calibri" w:cs="Calibri" w:eastAsia="Calibri" w:hAnsi="Calibri"/>
          <w:b/>
          <w:bCs/>
          <w:color w:val="1A1814"/>
          <w:sz w:val="30"/>
          <w:szCs w:val="30"/>
        </w:rPr>
        <w:t xml:space="preserve">Contents</w:t>
      </w:r>
    </w:p>
    <w:sdt>
      <w:sdtPr>
        <w:alias w:val="Contents"/>
      </w:sdtPr>
      <w:sdtContent>
        <w:p>
          <w:r>
            <w:fldChar w:fldCharType="begin" w:dirty="true"/>
            <w:instrText xml:space="preserve">TOC \h \o "1-3" \t "Heading1,1,Heading2,2"</w:instrText>
            <w:fldChar w:fldCharType="separate"/>
          </w:r>
        </w:p>
        <w:p>
          <w:r>
            <w:fldChar w:fldCharType="end"/>
          </w:r>
        </w:p>
      </w:sdtContent>
    </w:sdt>
    <w:p>
      <w:r>
        <w:br w:type="page"/>
      </w:r>
    </w:p>
    <w:p>
      <w:pPr>
        <w:pStyle w:val="Heading1"/>
        <w:spacing w:after="140" w:before="260"/>
      </w:pPr>
      <w:r>
        <w:rPr>
          <w:rFonts w:ascii="Calibri" w:cs="Calibri" w:eastAsia="Calibri" w:hAnsi="Calibri"/>
          <w:b/>
          <w:bCs/>
          <w:color w:val="1A1814"/>
          <w:sz w:val="30"/>
          <w:szCs w:val="30"/>
        </w:rPr>
        <w:t xml:space="preserve">1. Executive Summary</w:t>
      </w:r>
    </w:p>
    <w:p>
      <w:pPr>
        <w:spacing w:after="120" w:line="280"/>
        <w:jc w:val="both"/>
      </w:pPr>
      <w:r>
        <w:rPr>
          <w:rFonts w:ascii="Calibri" w:cs="Calibri" w:eastAsia="Calibri" w:hAnsi="Calibri"/>
          <w:color w:val="1A1814"/>
          <w:sz w:val="22"/>
          <w:szCs w:val="22"/>
        </w:rPr>
        <w:t xml:space="preserve">Akili Risk today ships two marketing audience tabs — For Families and For Firms — serving affluent households and the professional advisory firms that work with them. This plan proposes adding two more: For Organizations and For Practitioners. Together the four tabs cover every current audience for the Akili platform.</w:t>
      </w:r>
    </w:p>
    <w:p>
      <w:pPr>
        <w:spacing w:after="120" w:line="280"/>
        <w:jc w:val="both"/>
      </w:pPr>
      <w:r>
        <w:rPr>
          <w:rFonts w:ascii="Calibri" w:cs="Calibri" w:eastAsia="Calibri" w:hAnsi="Calibri"/>
          <w:color w:val="1A1814"/>
          <w:sz w:val="22"/>
          <w:szCs w:val="22"/>
        </w:rPr>
        <w:t xml:space="preserve">For Organizations serves small businesses, non-profits, and NGOs assessing themselves. Warm, pragmatic tone: you can do this yourself, without hiring a risk team. Self-serve per-organization subscription, with an optional Configuration-as-a-Service line for buyers who prefer white-glove setup.</w:t>
      </w:r>
    </w:p>
    <w:p>
      <w:pPr>
        <w:spacing w:after="120" w:line="280"/>
        <w:jc w:val="both"/>
      </w:pPr>
      <w:r>
        <w:rPr>
          <w:rFonts w:ascii="Calibri" w:cs="Calibri" w:eastAsia="Calibri" w:hAnsi="Calibri"/>
          <w:color w:val="1A1814"/>
          <w:sz w:val="22"/>
          <w:szCs w:val="22"/>
        </w:rPr>
        <w:t xml:space="preserve">For Practitioners serves consultants, fractional CISOs, fractional CFOs, tax professionals, compliance consultants, and other professionals who run assessments on behalf of their clients. Professional-to-professional tone: add this to your practice. Self-serve per-seat or per-client subscription with white-label branding, mirroring the existing advisor-tenant model unchanged.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8C6A2F" w:sz="6"/>
              <w:left w:val="single" w:color="8C6A2F" w:sz="6"/>
              <w:bottom w:val="single" w:color="8C6A2F" w:sz="6"/>
              <w:right w:val="single" w:color="8C6A2F" w:sz="6"/>
            </w:tcBorders>
            <w:shd w:fill="F6F1E6" w:color="auto" w:val="clear"/>
            <w:tcMar>
              <w:top w:type="dxa" w:w="200"/>
              <w:left w:type="dxa" w:w="240"/>
              <w:bottom w:type="dxa" w:w="200"/>
              <w:right w:type="dxa" w:w="240"/>
            </w:tcMar>
          </w:tcPr>
          <w:p>
            <w:pPr>
              <w:spacing w:after="100"/>
            </w:pPr>
            <w:r>
              <w:rPr>
                <w:rFonts w:ascii="Calibri" w:cs="Calibri" w:eastAsia="Calibri" w:hAnsi="Calibri"/>
                <w:b/>
                <w:bCs/>
                <w:color w:val="1A1814"/>
                <w:sz w:val="22"/>
                <w:szCs w:val="22"/>
              </w:rPr>
              <w:t xml:space="preserve">One methodology, two audiences</w:t>
            </w:r>
          </w:p>
          <w:p>
            <w:pPr>
              <w:spacing w:after="80" w:line="280"/>
            </w:pPr>
            <w:r>
              <w:rPr>
                <w:rFonts w:ascii="Calibri" w:cs="Calibri" w:eastAsia="Calibri" w:hAnsi="Calibri"/>
                <w:color w:val="1A1814"/>
                <w:sz w:val="22"/>
                <w:szCs w:val="22"/>
              </w:rPr>
              <w:t xml:space="preserve">Both tabs sell exactly the same platform. Same ten pillars, same three category groupings (Operational, Strategic, Governance), same scoring, same recommendations, same infrastructure.</w:t>
            </w:r>
          </w:p>
          <w:p>
            <w:pPr>
              <w:spacing w:after="80" w:line="280"/>
            </w:pPr>
            <w:r>
              <w:rPr>
                <w:rFonts w:ascii="Calibri" w:cs="Calibri" w:eastAsia="Calibri" w:hAnsi="Calibri"/>
                <w:color w:val="1A1814"/>
                <w:sz w:val="22"/>
                <w:szCs w:val="22"/>
              </w:rPr>
              <w:t xml:space="preserve">What differs is the frame: one tab talks to the buyer as the organization being assessed; the other talks to the buyer as the professional doing the assessing. Two page templates, no product changes.</w:t>
            </w:r>
          </w:p>
        </w:tc>
      </w:tr>
    </w:tbl>
    <w:p>
      <w:pPr>
        <w:spacing w:after="120" w:line="280"/>
        <w:jc w:val="both"/>
      </w:pPr>
      <w:r>
        <w:rPr>
          <w:rFonts w:ascii="Calibri" w:cs="Calibri" w:eastAsia="Calibri" w:hAnsi="Calibri"/>
          <w:color w:val="1A1814"/>
          <w:sz w:val="22"/>
          <w:szCs w:val="22"/>
        </w:rPr>
        <w:t xml:space="preserve">Estimated engineering effort: two to three days for both tabs combined, including nav updates, page templates, and pricing-view wiring. See §9 for detail.</w:t>
      </w:r>
    </w:p>
    <w:p>
      <w:pPr>
        <w:pStyle w:val="Heading1"/>
        <w:spacing w:after="140" w:before="260"/>
      </w:pPr>
      <w:r>
        <w:rPr>
          <w:rFonts w:ascii="Calibri" w:cs="Calibri" w:eastAsia="Calibri" w:hAnsi="Calibri"/>
          <w:b/>
          <w:bCs/>
          <w:color w:val="1A1814"/>
          <w:sz w:val="30"/>
          <w:szCs w:val="30"/>
        </w:rPr>
        <w:t xml:space="preserve">2. Positioning — One Methodology, Two Audiences</w:t>
      </w:r>
    </w:p>
    <w:p>
      <w:pPr>
        <w:spacing w:after="120" w:line="280"/>
        <w:jc w:val="both"/>
      </w:pPr>
      <w:r>
        <w:rPr>
          <w:rFonts w:ascii="Calibri" w:cs="Calibri" w:eastAsia="Calibri" w:hAnsi="Calibri"/>
          <w:color w:val="1A1814"/>
          <w:sz w:val="22"/>
          <w:szCs w:val="22"/>
        </w:rPr>
        <w:t xml:space="preserve">The methodology Akili already ships for household wealth is the methodology every risk buyer needs. What differs between segments is not the assessment; it is who is holding the pen and who is reading the output. A wealth advisor runs the assessment on behalf of a household. A community foundation runs the assessment on behalf of itself. A fractional CISO runs the assessment on behalf of eight business clients. Same platform, same categories, same scoring — three different buyer motions.</w:t>
      </w:r>
    </w:p>
    <w:p>
      <w:pPr>
        <w:spacing w:after="120" w:line="280"/>
        <w:jc w:val="both"/>
      </w:pPr>
      <w:r>
        <w:rPr>
          <w:rFonts w:ascii="Calibri" w:cs="Calibri" w:eastAsia="Calibri" w:hAnsi="Calibri"/>
          <w:color w:val="1A1814"/>
          <w:sz w:val="22"/>
          <w:szCs w:val="22"/>
        </w:rPr>
        <w:t xml:space="preserve">Adding two audience tabs (organizations and practitioners) simply completes the pattern the platform already supports. For Organizations is the direct-buyer motion, in the same spirit as For Families. For Practitioners is the professional-tenant motion, in the same spirit as For Firms — with the underlying multi-tenant architecture reused unchanged. Nothing new gets built on the backend; two marketing surfaces get added.</w:t>
      </w:r>
    </w:p>
    <w:p>
      <w:pPr>
        <w:pStyle w:val="Heading1"/>
        <w:spacing w:after="140" w:before="260"/>
      </w:pPr>
      <w:r>
        <w:rPr>
          <w:rFonts w:ascii="Calibri" w:cs="Calibri" w:eastAsia="Calibri" w:hAnsi="Calibri"/>
          <w:b/>
          <w:bCs/>
          <w:color w:val="1A1814"/>
          <w:sz w:val="30"/>
          <w:szCs w:val="30"/>
        </w:rPr>
        <w:t xml:space="preserve">3. Shared Foundation — Ten Pillars, Three Categories</w:t>
      </w:r>
    </w:p>
    <w:p>
      <w:pPr>
        <w:spacing w:after="120" w:line="280"/>
        <w:jc w:val="both"/>
      </w:pPr>
      <w:r>
        <w:rPr>
          <w:rFonts w:ascii="Calibri" w:cs="Calibri" w:eastAsia="Calibri" w:hAnsi="Calibri"/>
          <w:color w:val="1A1814"/>
          <w:sz w:val="22"/>
          <w:szCs w:val="22"/>
        </w:rPr>
        <w:t xml:space="preserve">Both tabs describe the same underlying content. Rather than repeating the pillar model on each tab, the plan proposes a single canonical three-category grouping that each tab links to (either as an anchor on the tab itself or via the existing /how-it-works page). The three categories preserve the ten-pillar catalog unchanged; they are a presentation layer only.</w:t>
      </w:r>
    </w:p>
    <w:p>
      <w:pPr>
        <w:pStyle w:val="Heading3"/>
        <w:spacing w:after="80" w:before="160"/>
      </w:pPr>
      <w:r>
        <w:rPr>
          <w:rFonts w:ascii="Calibri" w:cs="Calibri" w:eastAsia="Calibri" w:hAnsi="Calibri"/>
          <w:b/>
          <w:bCs/>
          <w:i w:val="false"/>
          <w:iCs w:val="false"/>
          <w:color w:val="1A1814"/>
          <w:sz w:val="22"/>
          <w:szCs w:val="22"/>
        </w:rPr>
        <w:t xml:space="preserve">Operational</w:t>
      </w:r>
    </w:p>
    <w:p>
      <w:pPr>
        <w:spacing w:after="120" w:line="280"/>
        <w:jc w:val="both"/>
      </w:pPr>
      <w:r>
        <w:rPr>
          <w:rFonts w:ascii="Calibri" w:cs="Calibri" w:eastAsia="Calibri" w:hAnsi="Calibri"/>
          <w:color w:val="1A1814"/>
          <w:sz w:val="22"/>
          <w:szCs w:val="22"/>
        </w:rPr>
        <w:t xml:space="preserve">The risks that would interrupt the organization if something in the day-to-day machinery failed. Cyber, physical, IT and business continuity, insurance.</w:t>
      </w:r>
    </w:p>
    <w:p>
      <w:pPr>
        <w:pStyle w:val="Heading3"/>
        <w:spacing w:after="80" w:before="160"/>
      </w:pPr>
      <w:r>
        <w:rPr>
          <w:rFonts w:ascii="Calibri" w:cs="Calibri" w:eastAsia="Calibri" w:hAnsi="Calibri"/>
          <w:b/>
          <w:bCs/>
          <w:i w:val="false"/>
          <w:iCs w:val="false"/>
          <w:color w:val="1A1814"/>
          <w:sz w:val="22"/>
          <w:szCs w:val="22"/>
        </w:rPr>
        <w:t xml:space="preserve">Strategic</w:t>
      </w:r>
    </w:p>
    <w:p>
      <w:pPr>
        <w:spacing w:after="120" w:line="280"/>
        <w:jc w:val="both"/>
      </w:pPr>
      <w:r>
        <w:rPr>
          <w:rFonts w:ascii="Calibri" w:cs="Calibri" w:eastAsia="Calibri" w:hAnsi="Calibri"/>
          <w:color w:val="1A1814"/>
          <w:sz w:val="22"/>
          <w:szCs w:val="22"/>
        </w:rPr>
        <w:t xml:space="preserve">The risks that would erode confidence or shift the shape of the organization. Reputational, financial resilience, geographic and jurisdictional, mission or business continuity.</w:t>
      </w:r>
    </w:p>
    <w:p>
      <w:pPr>
        <w:pStyle w:val="Heading3"/>
        <w:spacing w:after="80" w:before="160"/>
      </w:pPr>
      <w:r>
        <w:rPr>
          <w:rFonts w:ascii="Calibri" w:cs="Calibri" w:eastAsia="Calibri" w:hAnsi="Calibri"/>
          <w:b/>
          <w:bCs/>
          <w:i w:val="false"/>
          <w:iCs w:val="false"/>
          <w:color w:val="1A1814"/>
          <w:sz w:val="22"/>
          <w:szCs w:val="22"/>
        </w:rPr>
        <w:t xml:space="preserve">Governance</w:t>
      </w:r>
    </w:p>
    <w:p>
      <w:pPr>
        <w:spacing w:after="120" w:line="280"/>
        <w:jc w:val="both"/>
      </w:pPr>
      <w:r>
        <w:rPr>
          <w:rFonts w:ascii="Calibri" w:cs="Calibri" w:eastAsia="Calibri" w:hAnsi="Calibri"/>
          <w:color w:val="1A1814"/>
          <w:sz w:val="22"/>
          <w:szCs w:val="22"/>
        </w:rPr>
        <w:t xml:space="preserve">The risks that live in how the organization is run. Board or founder oversight, regulatory and reporting, grant/donor/funder compliance, ethics and safeguarding.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8C6A2F" w:sz="6"/>
              <w:left w:val="single" w:color="8C6A2F" w:sz="6"/>
              <w:bottom w:val="single" w:color="8C6A2F" w:sz="6"/>
              <w:right w:val="single" w:color="8C6A2F" w:sz="6"/>
            </w:tcBorders>
            <w:shd w:fill="F6F1E6" w:color="auto" w:val="clear"/>
            <w:tcMar>
              <w:top w:type="dxa" w:w="200"/>
              <w:left w:type="dxa" w:w="240"/>
              <w:bottom w:type="dxa" w:w="200"/>
              <w:right w:type="dxa" w:w="240"/>
            </w:tcMar>
          </w:tcPr>
          <w:p>
            <w:pPr>
              <w:spacing w:after="100"/>
            </w:pPr>
            <w:r>
              <w:rPr>
                <w:rFonts w:ascii="Calibri" w:cs="Calibri" w:eastAsia="Calibri" w:hAnsi="Calibri"/>
                <w:b/>
                <w:bCs/>
                <w:color w:val="1A1814"/>
                <w:sz w:val="22"/>
                <w:szCs w:val="22"/>
              </w:rPr>
              <w:t xml:space="preserve">Why this categorization is a low-lift launch</w:t>
            </w:r>
          </w:p>
          <w:p>
            <w:pPr>
              <w:spacing w:after="80" w:line="280"/>
            </w:pPr>
            <w:r>
              <w:rPr>
                <w:rFonts w:ascii="Calibri" w:cs="Calibri" w:eastAsia="Calibri" w:hAnsi="Calibri"/>
                <w:color w:val="1A1814"/>
                <w:sz w:val="22"/>
                <w:szCs w:val="22"/>
              </w:rPr>
              <w:t xml:space="preserve">The three categories are presentation only. The ten pillars in the platform today — including the four new ones from the 10-Pillar Expansion plan — map onto Operational, Strategic, and Governance without renaming, rescoring, or reweighting anything.</w:t>
            </w:r>
          </w:p>
          <w:p>
            <w:pPr>
              <w:spacing w:after="80" w:line="280"/>
            </w:pPr>
            <w:r>
              <w:rPr>
                <w:rFonts w:ascii="Calibri" w:cs="Calibri" w:eastAsia="Calibri" w:hAnsi="Calibri"/>
                <w:color w:val="1A1814"/>
                <w:sz w:val="22"/>
                <w:szCs w:val="22"/>
              </w:rPr>
              <w:t xml:space="preserve">Both new tabs use the same three-category grouping. No product changes are required to launch either tab.</w:t>
            </w:r>
          </w:p>
        </w:tc>
      </w:tr>
    </w:tbl>
    <w:p>
      <w:pPr>
        <w:pStyle w:val="Heading1"/>
        <w:spacing w:after="140" w:before="260"/>
      </w:pPr>
      <w:r>
        <w:rPr>
          <w:rFonts w:ascii="Calibri" w:cs="Calibri" w:eastAsia="Calibri" w:hAnsi="Calibri"/>
          <w:b/>
          <w:bCs/>
          <w:color w:val="1A1814"/>
          <w:sz w:val="30"/>
          <w:szCs w:val="30"/>
        </w:rPr>
        <w:t xml:space="preserve">4. Nav Placement</w:t>
      </w:r>
    </w:p>
    <w:p>
      <w:pPr>
        <w:spacing w:after="120" w:line="280"/>
        <w:jc w:val="both"/>
      </w:pPr>
      <w:r>
        <w:rPr>
          <w:rFonts w:ascii="Calibri" w:cs="Calibri" w:eastAsia="Calibri" w:hAnsi="Calibri"/>
          <w:color w:val="1A1814"/>
          <w:sz w:val="22"/>
          <w:szCs w:val="22"/>
        </w:rPr>
        <w:t xml:space="preserve">The marketing header today has three audience tabs — Families, Firms, How It Works — plus primary links to Docs, Pricing, and About. The audience tabs are backed by SITE_AUDIENCE_NAV in src/lib/marketing/site-nav.ts and the HeroAudience union in src/components/home/hero/hero-audience-content.ts. Each audience has its own route (/families, /firms) rendering the shared HomePageContent shell.</w:t>
      </w:r>
    </w:p>
    <w:p>
      <w:pPr>
        <w:spacing w:after="120" w:line="280"/>
        <w:jc w:val="both"/>
      </w:pPr>
      <w:r>
        <w:rPr>
          <w:rFonts w:ascii="Calibri" w:cs="Calibri" w:eastAsia="Calibri" w:hAnsi="Calibri"/>
          <w:color w:val="1A1814"/>
          <w:sz w:val="22"/>
          <w:szCs w:val="22"/>
        </w:rPr>
        <w:t xml:space="preserve">This plan adds two more audience routes — /organizations and /practitioners — and two more entries in SITE_AUDIENCE_NAV. Each route is its own page template (see §5 and §6) rather than a shared shell with a different initialAudience, because the two new audiences differ enough in structure (per-org vs per-seat pricing, different vignettes, different CTAs) that a shared template would fight the copy.</w:t>
      </w:r>
    </w:p>
    <w:p>
      <w:pPr>
        <w:pStyle w:val="Heading3"/>
        <w:spacing w:after="80" w:before="160"/>
      </w:pPr>
      <w:r>
        <w:rPr>
          <w:rFonts w:ascii="Calibri" w:cs="Calibri" w:eastAsia="Calibri" w:hAnsi="Calibri"/>
          <w:b/>
          <w:bCs/>
          <w:i w:val="false"/>
          <w:iCs w:val="false"/>
          <w:color w:val="1A1814"/>
          <w:sz w:val="22"/>
          <w:szCs w:val="22"/>
        </w:rPr>
        <w:t xml:space="preserve">Recommended header order</w:t>
      </w:r>
    </w:p>
    <w:p>
      <w:pPr>
        <w:pStyle w:val="ListParagraph"/>
        <w:numPr>
          <w:ilvl w:val="0"/>
          <w:numId w:val="2"/>
        </w:numPr>
        <w:spacing w:after="60" w:line="280"/>
      </w:pPr>
      <w:r>
        <w:rPr>
          <w:rFonts w:ascii="Calibri" w:cs="Calibri" w:eastAsia="Calibri" w:hAnsi="Calibri"/>
          <w:color w:val="1A1814"/>
          <w:sz w:val="22"/>
          <w:szCs w:val="22"/>
        </w:rPr>
        <w:t xml:space="preserve">Families</w:t>
      </w:r>
    </w:p>
    <w:p>
      <w:pPr>
        <w:pStyle w:val="ListParagraph"/>
        <w:numPr>
          <w:ilvl w:val="0"/>
          <w:numId w:val="2"/>
        </w:numPr>
        <w:spacing w:after="60" w:line="280"/>
      </w:pPr>
      <w:r>
        <w:rPr>
          <w:rFonts w:ascii="Calibri" w:cs="Calibri" w:eastAsia="Calibri" w:hAnsi="Calibri"/>
          <w:color w:val="1A1814"/>
          <w:sz w:val="22"/>
          <w:szCs w:val="22"/>
        </w:rPr>
        <w:t xml:space="preserve">Firms</w:t>
      </w:r>
    </w:p>
    <w:p>
      <w:pPr>
        <w:pStyle w:val="ListParagraph"/>
        <w:numPr>
          <w:ilvl w:val="0"/>
          <w:numId w:val="2"/>
        </w:numPr>
        <w:spacing w:after="60" w:line="280"/>
      </w:pPr>
      <w:r>
        <w:rPr>
          <w:rFonts w:ascii="Calibri" w:cs="Calibri" w:eastAsia="Calibri" w:hAnsi="Calibri"/>
          <w:color w:val="1A1814"/>
          <w:sz w:val="22"/>
          <w:szCs w:val="22"/>
        </w:rPr>
        <w:t xml:space="preserve">Organizations  ← new</w:t>
      </w:r>
    </w:p>
    <w:p>
      <w:pPr>
        <w:pStyle w:val="ListParagraph"/>
        <w:numPr>
          <w:ilvl w:val="0"/>
          <w:numId w:val="2"/>
        </w:numPr>
        <w:spacing w:after="60" w:line="280"/>
      </w:pPr>
      <w:r>
        <w:rPr>
          <w:rFonts w:ascii="Calibri" w:cs="Calibri" w:eastAsia="Calibri" w:hAnsi="Calibri"/>
          <w:color w:val="1A1814"/>
          <w:sz w:val="22"/>
          <w:szCs w:val="22"/>
        </w:rPr>
        <w:t xml:space="preserve">Practitioners  ← new</w:t>
      </w:r>
    </w:p>
    <w:p>
      <w:pPr>
        <w:pStyle w:val="ListParagraph"/>
        <w:numPr>
          <w:ilvl w:val="0"/>
          <w:numId w:val="2"/>
        </w:numPr>
        <w:spacing w:after="60" w:line="280"/>
      </w:pPr>
      <w:r>
        <w:rPr>
          <w:rFonts w:ascii="Calibri" w:cs="Calibri" w:eastAsia="Calibri" w:hAnsi="Calibri"/>
          <w:color w:val="1A1814"/>
          <w:sz w:val="22"/>
          <w:szCs w:val="22"/>
        </w:rPr>
        <w:t xml:space="preserve">How It Works</w:t>
      </w:r>
    </w:p>
    <w:p>
      <w:pPr>
        <w:pStyle w:val="Heading3"/>
        <w:spacing w:after="80" w:before="160"/>
      </w:pPr>
      <w:r>
        <w:rPr>
          <w:rFonts w:ascii="Calibri" w:cs="Calibri" w:eastAsia="Calibri" w:hAnsi="Calibri"/>
          <w:b/>
          <w:bCs/>
          <w:i w:val="false"/>
          <w:iCs w:val="false"/>
          <w:color w:val="1A1814"/>
          <w:sz w:val="22"/>
          <w:szCs w:val="22"/>
        </w:rPr>
        <w:t xml:space="preserve">Nav density check</w:t>
      </w:r>
    </w:p>
    <w:p>
      <w:pPr>
        <w:spacing w:after="120" w:line="280"/>
        <w:jc w:val="both"/>
      </w:pPr>
      <w:r>
        <w:rPr>
          <w:rFonts w:ascii="Calibri" w:cs="Calibri" w:eastAsia="Calibri" w:hAnsi="Calibri"/>
          <w:color w:val="1A1814"/>
          <w:sz w:val="22"/>
          <w:szCs w:val="22"/>
        </w:rPr>
        <w:t xml:space="preserve">Five audience tabs plus three primary links (Docs, Pricing, About) will crowd the desktop header, and the mobile menu (MobileNavMenu.tsx) will need to scroll. Two paths worth considering: (a) keep all five audience tabs on desktop and rely on the mobile menu's scroll behavior, which is the default recommendation; (b) group the two new tabs under a single "For You" dropdown parent, which trades discoverability for space. Recommendation (a); (b) called out in Open Questions in case density becomes a real problem in the design pass.</w:t>
      </w:r>
    </w:p>
    <w:p>
      <w:pPr>
        <w:pStyle w:val="Heading3"/>
        <w:spacing w:after="80" w:before="160"/>
      </w:pPr>
      <w:r>
        <w:rPr>
          <w:rFonts w:ascii="Calibri" w:cs="Calibri" w:eastAsia="Calibri" w:hAnsi="Calibri"/>
          <w:b/>
          <w:bCs/>
          <w:i w:val="false"/>
          <w:iCs w:val="false"/>
          <w:color w:val="1A1814"/>
          <w:sz w:val="22"/>
          <w:szCs w:val="22"/>
        </w:rPr>
        <w:t xml:space="preserve">Design principle — Akili apex only, not on tenant subdomains</w:t>
      </w:r>
    </w:p>
    <w:p>
      <w:pPr>
        <w:spacing w:after="120" w:line="280"/>
        <w:jc w:val="both"/>
      </w:pPr>
      <w:r>
        <w:rPr>
          <w:rFonts w:ascii="Calibri" w:cs="Calibri" w:eastAsia="Calibri" w:hAnsi="Calibri"/>
          <w:color w:val="1A1814"/>
          <w:sz w:val="22"/>
          <w:szCs w:val="22"/>
        </w:rPr>
        <w:t xml:space="preserve">Both new tabs render on Akili's main marketing site (akilirisk.com) only. They must not appear on white-labeled advisor tenant subdomains ({advisor}.akilirisk.com). Tenant portals present the advisor's own brand and audience positioning; Akili-owned segment-promotion tabs would be off-brand there and would dilute the tenant's messaging. Enforcement is a marketing-nav host check — see §9 for the implementation approach.</w:t>
      </w:r>
    </w:p>
    <w:p>
      <w:r>
        <w:br w:type="page"/>
      </w:r>
    </w:p>
    <w:p>
      <w:pPr>
        <w:pStyle w:val="Heading1"/>
        <w:spacing w:after="140" w:before="260"/>
      </w:pPr>
      <w:r>
        <w:rPr>
          <w:rFonts w:ascii="Calibri" w:cs="Calibri" w:eastAsia="Calibri" w:hAnsi="Calibri"/>
          <w:b/>
          <w:bCs/>
          <w:color w:val="1A1814"/>
          <w:sz w:val="30"/>
          <w:szCs w:val="30"/>
        </w:rPr>
        <w:t xml:space="preserve">5. Tab A — For Organizations</w:t>
      </w:r>
    </w:p>
    <w:p>
      <w:pPr>
        <w:spacing w:after="120" w:line="280"/>
        <w:jc w:val="both"/>
      </w:pPr>
      <w:r>
        <w:rPr>
          <w:rFonts w:ascii="Calibri" w:cs="Calibri" w:eastAsia="Calibri" w:hAnsi="Calibri"/>
          <w:color w:val="1A1814"/>
          <w:sz w:val="22"/>
          <w:szCs w:val="22"/>
        </w:rPr>
        <w:t xml:space="preserve">Route: /organizations. Serves small businesses, non-profits, and NGOs assessing themselves. Tone: warm, pragmatic, empowering. Reader is the executive director, founder, or operations lead — a busy generalist doing this on top of their day job.</w:t>
      </w:r>
    </w:p>
    <w:p>
      <w:pPr>
        <w:pStyle w:val="Heading2"/>
        <w:spacing w:after="100" w:before="200"/>
      </w:pPr>
      <w:r>
        <w:rPr>
          <w:rFonts w:ascii="Calibri" w:cs="Calibri" w:eastAsia="Calibri" w:hAnsi="Calibri"/>
          <w:b/>
          <w:bCs/>
          <w:color w:val="1A1814"/>
          <w:sz w:val="26"/>
          <w:szCs w:val="26"/>
        </w:rPr>
        <w:t xml:space="preserve">5.1 Hero</w:t>
      </w:r>
    </w:p>
    <w:p>
      <w:pPr>
        <w:spacing w:after="100" w:line="280"/>
        <w:jc w:val="both"/>
      </w:pPr>
      <w:r>
        <w:rPr>
          <w:rFonts w:ascii="Calibri" w:cs="Calibri" w:eastAsia="Calibri" w:hAnsi="Calibri"/>
          <w:b/>
          <w:bCs/>
          <w:color w:val="1A1814"/>
          <w:sz w:val="22"/>
          <w:szCs w:val="22"/>
        </w:rPr>
        <w:t xml:space="preserve">Kicker: </w:t>
      </w:r>
      <w:r>
        <w:rPr>
          <w:rFonts w:ascii="Calibri" w:cs="Calibri" w:eastAsia="Calibri" w:hAnsi="Calibri"/>
          <w:color w:val="1A1814"/>
          <w:sz w:val="22"/>
          <w:szCs w:val="22"/>
        </w:rPr>
        <w:t xml:space="preserve">For small businesses, non-profits, and NGOs</w:t>
      </w:r>
    </w:p>
    <w:p>
      <w:pPr>
        <w:spacing w:after="100" w:line="280"/>
        <w:jc w:val="both"/>
      </w:pPr>
      <w:r>
        <w:rPr>
          <w:rFonts w:ascii="Calibri" w:cs="Calibri" w:eastAsia="Calibri" w:hAnsi="Calibri"/>
          <w:b/>
          <w:bCs/>
          <w:color w:val="1A1814"/>
          <w:sz w:val="22"/>
          <w:szCs w:val="22"/>
        </w:rPr>
        <w:t xml:space="preserve">Headline: </w:t>
      </w:r>
      <w:r>
        <w:rPr>
          <w:rFonts w:ascii="Calibri" w:cs="Calibri" w:eastAsia="Calibri" w:hAnsi="Calibri"/>
          <w:color w:val="1A1814"/>
          <w:sz w:val="22"/>
          <w:szCs w:val="22"/>
        </w:rPr>
        <w:t xml:space="preserve">Know where you're exposed — without hiring a risk team.</w:t>
      </w:r>
    </w:p>
    <w:p>
      <w:pPr>
        <w:spacing w:after="100" w:line="280"/>
        <w:jc w:val="both"/>
      </w:pPr>
      <w:r>
        <w:rPr>
          <w:rFonts w:ascii="Calibri" w:cs="Calibri" w:eastAsia="Calibri" w:hAnsi="Calibri"/>
          <w:b/>
          <w:bCs/>
          <w:color w:val="1A1814"/>
          <w:sz w:val="22"/>
          <w:szCs w:val="22"/>
        </w:rPr>
        <w:t xml:space="preserve">Subhead: </w:t>
      </w:r>
      <w:r>
        <w:rPr>
          <w:rFonts w:ascii="Calibri" w:cs="Calibri" w:eastAsia="Calibri" w:hAnsi="Calibri"/>
          <w:color w:val="1A1814"/>
          <w:sz w:val="22"/>
          <w:szCs w:val="22"/>
        </w:rPr>
        <w:t xml:space="preserve">A structured, guided assessment across cyber, financial, operational, compliance, reputational, and mission-continuity risk. One methodology, one afternoon, one deliverable your board, donors, or funders can actually read.</w:t>
      </w:r>
    </w:p>
    <w:p>
      <w:pPr>
        <w:spacing w:after="100" w:line="280"/>
        <w:jc w:val="both"/>
      </w:pPr>
      <w:r>
        <w:rPr>
          <w:rFonts w:ascii="Calibri" w:cs="Calibri" w:eastAsia="Calibri" w:hAnsi="Calibri"/>
          <w:b/>
          <w:bCs/>
          <w:color w:val="1A1814"/>
          <w:sz w:val="22"/>
          <w:szCs w:val="22"/>
        </w:rPr>
        <w:t xml:space="preserve">Primary CTA: </w:t>
      </w:r>
      <w:r>
        <w:rPr>
          <w:rFonts w:ascii="Calibri" w:cs="Calibri" w:eastAsia="Calibri" w:hAnsi="Calibri"/>
          <w:color w:val="1A1814"/>
          <w:sz w:val="22"/>
          <w:szCs w:val="22"/>
        </w:rPr>
        <w:t xml:space="preserve">Start your assessment → /signup (self-serve)</w:t>
      </w:r>
    </w:p>
    <w:p>
      <w:pPr>
        <w:spacing w:after="100" w:line="280"/>
        <w:jc w:val="both"/>
      </w:pPr>
      <w:r>
        <w:rPr>
          <w:rFonts w:ascii="Calibri" w:cs="Calibri" w:eastAsia="Calibri" w:hAnsi="Calibri"/>
          <w:b/>
          <w:bCs/>
          <w:color w:val="1A1814"/>
          <w:sz w:val="22"/>
          <w:szCs w:val="22"/>
        </w:rPr>
        <w:t xml:space="preserve">Secondary CTA: </w:t>
      </w:r>
      <w:r>
        <w:rPr>
          <w:rFonts w:ascii="Calibri" w:cs="Calibri" w:eastAsia="Calibri" w:hAnsi="Calibri"/>
          <w:color w:val="1A1814"/>
          <w:sz w:val="22"/>
          <w:szCs w:val="22"/>
        </w:rPr>
        <w:t xml:space="preserve">See pricing → anchors to §5.6</w:t>
      </w:r>
    </w:p>
    <w:p>
      <w:pPr>
        <w:pStyle w:val="Heading2"/>
        <w:spacing w:after="100" w:before="200"/>
      </w:pPr>
      <w:r>
        <w:rPr>
          <w:rFonts w:ascii="Calibri" w:cs="Calibri" w:eastAsia="Calibri" w:hAnsi="Calibri"/>
          <w:b/>
          <w:bCs/>
          <w:color w:val="1A1814"/>
          <w:sz w:val="26"/>
          <w:szCs w:val="26"/>
        </w:rPr>
        <w:t xml:space="preserve">5.2 The problem</w:t>
      </w:r>
    </w:p>
    <w:p>
      <w:pPr>
        <w:spacing w:after="120" w:line="280"/>
        <w:jc w:val="both"/>
      </w:pPr>
      <w:r>
        <w:rPr>
          <w:rFonts w:ascii="Calibri" w:cs="Calibri" w:eastAsia="Calibri" w:hAnsi="Calibri"/>
          <w:color w:val="1A1814"/>
          <w:sz w:val="22"/>
          <w:szCs w:val="22"/>
        </w:rPr>
        <w:t xml:space="preserve">Small organizations carry the same risks as large ones, without the staff to manage them. A twenty-five-person firm faces the same cyber threats a twenty-five-thousand-person one does, but does not have a CISO. A community foundation has the same fiduciary duty a national one does, but does not have a general counsel. An NGO operating across three countries answers to the same institutional funders as an NGO operating across thirty, but does not have a dedicated compliance officer.</w:t>
      </w:r>
    </w:p>
    <w:p>
      <w:pPr>
        <w:spacing w:after="120" w:line="280"/>
        <w:jc w:val="both"/>
      </w:pPr>
      <w:r>
        <w:rPr>
          <w:rFonts w:ascii="Calibri" w:cs="Calibri" w:eastAsia="Calibri" w:hAnsi="Calibri"/>
          <w:color w:val="1A1814"/>
          <w:sz w:val="22"/>
          <w:szCs w:val="22"/>
        </w:rPr>
        <w:t xml:space="preserve">The work still has to get done. A board still expects a risk register. A donor still expects an operational credibility artifact. A funder still expects a business-continuity plan. A cyber-insurance renewal still expects a controls attestation. The result is usually not catastrophe; it is smaller and more common — risk managed in fragments, without a defensible artifact, until the first time someone asks to see one.</w:t>
      </w:r>
    </w:p>
    <w:p>
      <w:pPr>
        <w:pStyle w:val="Heading2"/>
        <w:spacing w:after="100" w:before="200"/>
      </w:pPr>
      <w:r>
        <w:rPr>
          <w:rFonts w:ascii="Calibri" w:cs="Calibri" w:eastAsia="Calibri" w:hAnsi="Calibri"/>
          <w:b/>
          <w:bCs/>
          <w:color w:val="1A1814"/>
          <w:sz w:val="26"/>
          <w:szCs w:val="26"/>
        </w:rPr>
        <w:t xml:space="preserve">5.3 The Akili approach</w:t>
      </w:r>
    </w:p>
    <w:p>
      <w:pPr>
        <w:spacing w:after="120" w:line="280"/>
        <w:jc w:val="both"/>
      </w:pPr>
      <w:r>
        <w:rPr>
          <w:rFonts w:ascii="Calibri" w:cs="Calibri" w:eastAsia="Calibri" w:hAnsi="Calibri"/>
          <w:color w:val="1A1814"/>
          <w:sz w:val="22"/>
          <w:szCs w:val="22"/>
        </w:rPr>
        <w:t xml:space="preserve">Akili is a guided, structured risk assessment designed for organizations that do not have a risk team. It replaces the blank-page problem with a walkthrough across the categories that matter, in plain language, with the kind of guidance a consultant would give you if you could afford one. The output is a coherent picture your board, donors, or funders can read without translation, and a prioritized list of next steps you can actually work through.</w:t>
      </w:r>
    </w:p>
    <w:p>
      <w:pPr>
        <w:spacing w:after="120" w:line="280"/>
        <w:jc w:val="both"/>
      </w:pPr>
      <w:r>
        <w:rPr>
          <w:rFonts w:ascii="Calibri" w:cs="Calibri" w:eastAsia="Calibri" w:hAnsi="Calibri"/>
          <w:color w:val="1A1814"/>
          <w:sz w:val="22"/>
          <w:szCs w:val="22"/>
        </w:rPr>
        <w:t xml:space="preserve">The methodology is the same one Akili uses for family wealth and for advisor firms. It was not invented for you; it was proven on thousands of assessments before you saw it. You get the benefit of a mature methodology without needing a mature risk function to run it.</w:t>
      </w:r>
    </w:p>
    <w:p>
      <w:pPr>
        <w:pStyle w:val="Heading2"/>
        <w:spacing w:after="100" w:before="200"/>
      </w:pPr>
      <w:r>
        <w:rPr>
          <w:rFonts w:ascii="Calibri" w:cs="Calibri" w:eastAsia="Calibri" w:hAnsi="Calibri"/>
          <w:b/>
          <w:bCs/>
          <w:color w:val="1A1814"/>
          <w:sz w:val="26"/>
          <w:szCs w:val="26"/>
        </w:rPr>
        <w:t xml:space="preserve">5.4 How it works</w:t>
      </w:r>
    </w:p>
    <w:p>
      <w:pPr>
        <w:pStyle w:val="ListParagraph"/>
        <w:numPr>
          <w:ilvl w:val="0"/>
          <w:numId w:val="2"/>
        </w:numPr>
        <w:spacing w:after="60" w:line="280"/>
      </w:pPr>
      <w:r>
        <w:rPr>
          <w:rFonts w:ascii="Calibri" w:cs="Calibri" w:eastAsia="Calibri" w:hAnsi="Calibri"/>
          <w:b/>
          <w:bCs/>
          <w:color w:val="1A1814"/>
          <w:sz w:val="22"/>
          <w:szCs w:val="22"/>
        </w:rPr>
        <w:t xml:space="preserve">Assess. </w:t>
      </w:r>
      <w:r>
        <w:rPr>
          <w:rFonts w:ascii="Calibri" w:cs="Calibri" w:eastAsia="Calibri" w:hAnsi="Calibri"/>
          <w:color w:val="1A1814"/>
          <w:sz w:val="22"/>
          <w:szCs w:val="22"/>
        </w:rPr>
        <w:t xml:space="preserve">A guided assessment across every relevant category, in plain language, completable in an afternoon or split across a working session with the board.</w:t>
      </w:r>
    </w:p>
    <w:p>
      <w:pPr>
        <w:pStyle w:val="ListParagraph"/>
        <w:numPr>
          <w:ilvl w:val="0"/>
          <w:numId w:val="2"/>
        </w:numPr>
        <w:spacing w:after="60" w:line="280"/>
      </w:pPr>
      <w:r>
        <w:rPr>
          <w:rFonts w:ascii="Calibri" w:cs="Calibri" w:eastAsia="Calibri" w:hAnsi="Calibri"/>
          <w:b/>
          <w:bCs/>
          <w:color w:val="1A1814"/>
          <w:sz w:val="22"/>
          <w:szCs w:val="22"/>
        </w:rPr>
        <w:t xml:space="preserve">Visualize. </w:t>
      </w:r>
      <w:r>
        <w:rPr>
          <w:rFonts w:ascii="Calibri" w:cs="Calibri" w:eastAsia="Calibri" w:hAnsi="Calibri"/>
          <w:color w:val="1A1814"/>
          <w:sz w:val="22"/>
          <w:szCs w:val="22"/>
        </w:rPr>
        <w:t xml:space="preserve">One coherent view of where the organization is exposed, with comparable scores across categories and a summary a board member or funder can read without briefing.</w:t>
      </w:r>
    </w:p>
    <w:p>
      <w:pPr>
        <w:pStyle w:val="ListParagraph"/>
        <w:numPr>
          <w:ilvl w:val="0"/>
          <w:numId w:val="2"/>
        </w:numPr>
        <w:spacing w:after="60" w:line="280"/>
      </w:pPr>
      <w:r>
        <w:rPr>
          <w:rFonts w:ascii="Calibri" w:cs="Calibri" w:eastAsia="Calibri" w:hAnsi="Calibri"/>
          <w:b/>
          <w:bCs/>
          <w:color w:val="1A1814"/>
          <w:sz w:val="22"/>
          <w:szCs w:val="22"/>
        </w:rPr>
        <w:t xml:space="preserve">Prioritize. </w:t>
      </w:r>
      <w:r>
        <w:rPr>
          <w:rFonts w:ascii="Calibri" w:cs="Calibri" w:eastAsia="Calibri" w:hAnsi="Calibri"/>
          <w:color w:val="1A1814"/>
          <w:sz w:val="22"/>
          <w:szCs w:val="22"/>
        </w:rPr>
        <w:t xml:space="preserve">Recommendations ranked by impact and effort, so the highest-return next step is the one Akili tells you to take — not the loudest urgency of the week.</w:t>
      </w:r>
    </w:p>
    <w:p>
      <w:pPr>
        <w:pStyle w:val="Heading2"/>
        <w:spacing w:after="100" w:before="200"/>
      </w:pPr>
      <w:r>
        <w:rPr>
          <w:rFonts w:ascii="Calibri" w:cs="Calibri" w:eastAsia="Calibri" w:hAnsi="Calibri"/>
          <w:b/>
          <w:bCs/>
          <w:color w:val="1A1814"/>
          <w:sz w:val="26"/>
          <w:szCs w:val="26"/>
        </w:rPr>
        <w:t xml:space="preserve">5.5 Vignettes</w:t>
      </w:r>
    </w:p>
    <w:p>
      <w:pPr>
        <w:pStyle w:val="Heading3"/>
        <w:spacing w:after="80" w:before="160"/>
      </w:pPr>
      <w:r>
        <w:rPr>
          <w:rFonts w:ascii="Calibri" w:cs="Calibri" w:eastAsia="Calibri" w:hAnsi="Calibri"/>
          <w:b/>
          <w:bCs/>
          <w:i w:val="false"/>
          <w:iCs w:val="false"/>
          <w:color w:val="1A1814"/>
          <w:sz w:val="22"/>
          <w:szCs w:val="22"/>
        </w:rPr>
        <w:t xml:space="preserve">A twenty-five-person professional services firm</w:t>
      </w:r>
    </w:p>
    <w:p>
      <w:pPr>
        <w:spacing w:after="120" w:line="280"/>
        <w:jc w:val="both"/>
      </w:pPr>
      <w:r>
        <w:rPr>
          <w:rFonts w:ascii="Calibri" w:cs="Calibri" w:eastAsia="Calibri" w:hAnsi="Calibri"/>
          <w:color w:val="1A1814"/>
          <w:sz w:val="22"/>
          <w:szCs w:val="22"/>
        </w:rPr>
        <w:t xml:space="preserve">A small architecture practice with twenty-five staff, no CISO, and no dedicated compliance lead. The managing partner is the de-facto risk owner on top of running the firm. A new institutional client has asked for a completed cyber-and-controls questionnaire as a condition of engagement, and the firm's cyber-insurance renewal is due in ninety days. Akili gives the managing partner a structured assessment they can complete in an afternoon, an artifact they can send to the client, and a prioritized list of the three things to fix before the renewal.</w:t>
      </w:r>
    </w:p>
    <w:p>
      <w:pPr>
        <w:pStyle w:val="Heading3"/>
        <w:spacing w:after="80" w:before="160"/>
      </w:pPr>
      <w:r>
        <w:rPr>
          <w:rFonts w:ascii="Calibri" w:cs="Calibri" w:eastAsia="Calibri" w:hAnsi="Calibri"/>
          <w:b/>
          <w:bCs/>
          <w:i w:val="false"/>
          <w:iCs w:val="false"/>
          <w:color w:val="1A1814"/>
          <w:sz w:val="22"/>
          <w:szCs w:val="22"/>
        </w:rPr>
        <w:t xml:space="preserve">A community foundation with a lean back office</w:t>
      </w:r>
    </w:p>
    <w:p>
      <w:pPr>
        <w:spacing w:after="120" w:line="280"/>
        <w:jc w:val="both"/>
      </w:pPr>
      <w:r>
        <w:rPr>
          <w:rFonts w:ascii="Calibri" w:cs="Calibri" w:eastAsia="Calibri" w:hAnsi="Calibri"/>
          <w:color w:val="1A1814"/>
          <w:sz w:val="22"/>
          <w:szCs w:val="22"/>
        </w:rPr>
        <w:t xml:space="preserve">A local community foundation with six staff and an active twelve-member board. The executive director owes the audit committee an annual risk deliverable and has been assembling it from spreadsheets, old policies, and memory. The board chair wants something more coherent this year — a real fiduciary artifact, not a status report. Akili produces that artifact in a single working session, and gives the board the plain-language picture it has been asking for.</w:t>
      </w:r>
    </w:p>
    <w:p>
      <w:pPr>
        <w:pStyle w:val="Heading3"/>
        <w:spacing w:after="80" w:before="160"/>
      </w:pPr>
      <w:r>
        <w:rPr>
          <w:rFonts w:ascii="Calibri" w:cs="Calibri" w:eastAsia="Calibri" w:hAnsi="Calibri"/>
          <w:b/>
          <w:bCs/>
          <w:i w:val="false"/>
          <w:iCs w:val="false"/>
          <w:color w:val="1A1814"/>
          <w:sz w:val="22"/>
          <w:szCs w:val="22"/>
        </w:rPr>
        <w:t xml:space="preserve">A mid-sized humanitarian NGO operating across three countries</w:t>
      </w:r>
    </w:p>
    <w:p>
      <w:pPr>
        <w:spacing w:after="120" w:line="280"/>
        <w:jc w:val="both"/>
      </w:pPr>
      <w:r>
        <w:rPr>
          <w:rFonts w:ascii="Calibri" w:cs="Calibri" w:eastAsia="Calibri" w:hAnsi="Calibri"/>
          <w:color w:val="1A1814"/>
          <w:sz w:val="22"/>
          <w:szCs w:val="22"/>
        </w:rPr>
        <w:t xml:space="preserve">A US-registered humanitarian NGO with programs in three countries, funded by a mix of institutional donors and one bilateral funder. Every grant cycle asks for a variant of the same risk register, control attestations, and continuity plan — the operations lead reconstructs them each time. Akili gives the organization one assessment that satisfies most funder due-diligence requests off the shelf, with the depth to answer follow-up questions and the format to file with US and local authorities.</w:t>
      </w:r>
    </w:p>
    <w:p>
      <w:pPr>
        <w:pStyle w:val="Heading2"/>
        <w:spacing w:after="100" w:before="200"/>
      </w:pPr>
      <w:r>
        <w:rPr>
          <w:rFonts w:ascii="Calibri" w:cs="Calibri" w:eastAsia="Calibri" w:hAnsi="Calibri"/>
          <w:b/>
          <w:bCs/>
          <w:color w:val="1A1814"/>
          <w:sz w:val="26"/>
          <w:szCs w:val="26"/>
        </w:rPr>
        <w:t xml:space="preserve">5.6 Sample case study — illustrative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8C6A2F" w:sz="6"/>
              <w:left w:val="single" w:color="8C6A2F" w:sz="6"/>
              <w:bottom w:val="single" w:color="8C6A2F" w:sz="6"/>
              <w:right w:val="single" w:color="8C6A2F" w:sz="6"/>
            </w:tcBorders>
            <w:shd w:fill="F6F1E6" w:color="auto" w:val="clear"/>
            <w:tcMar>
              <w:top w:type="dxa" w:w="200"/>
              <w:left w:type="dxa" w:w="240"/>
              <w:bottom w:type="dxa" w:w="200"/>
              <w:right w:type="dxa" w:w="240"/>
            </w:tcMar>
          </w:tcPr>
          <w:p>
            <w:pPr>
              <w:spacing w:after="100"/>
            </w:pPr>
            <w:r>
              <w:rPr>
                <w:rFonts w:ascii="Calibri" w:cs="Calibri" w:eastAsia="Calibri" w:hAnsi="Calibri"/>
                <w:b/>
                <w:bCs/>
                <w:color w:val="1A1814"/>
                <w:sz w:val="22"/>
                <w:szCs w:val="22"/>
              </w:rPr>
              <w:t xml:space="preserve">[Sample Case Study — Illustrative]</w:t>
            </w:r>
          </w:p>
          <w:p>
            <w:pPr>
              <w:spacing w:after="80" w:line="280"/>
            </w:pPr>
            <w:r>
              <w:rPr>
                <w:rFonts w:ascii="Calibri" w:cs="Calibri" w:eastAsia="Calibri" w:hAnsi="Calibri"/>
                <w:color w:val="1A1814"/>
                <w:sz w:val="22"/>
                <w:szCs w:val="22"/>
              </w:rPr>
              <w:t xml:space="preserve">Fictional but realistic. Will be replaced with a real case study once a live pilot deployment consents to be named.</w:t>
            </w:r>
          </w:p>
        </w:tc>
      </w:tr>
    </w:tbl>
    <w:p>
      <w:pPr>
        <w:pStyle w:val="Heading3"/>
        <w:spacing w:after="80" w:before="160"/>
      </w:pPr>
      <w:r>
        <w:rPr>
          <w:rFonts w:ascii="Calibri" w:cs="Calibri" w:eastAsia="Calibri" w:hAnsi="Calibri"/>
          <w:b/>
          <w:bCs/>
          <w:i w:val="false"/>
          <w:iCs w:val="false"/>
          <w:color w:val="1A1814"/>
          <w:sz w:val="22"/>
          <w:szCs w:val="22"/>
        </w:rPr>
        <w:t xml:space="preserve">Riverbend Community Foundation</w:t>
      </w:r>
    </w:p>
    <w:p>
      <w:pPr>
        <w:spacing w:after="100" w:line="280"/>
        <w:jc w:val="both"/>
      </w:pPr>
      <w:r>
        <w:rPr>
          <w:rFonts w:ascii="Calibri" w:cs="Calibri" w:eastAsia="Calibri" w:hAnsi="Calibri"/>
          <w:b/>
          <w:bCs/>
          <w:color w:val="1A1814"/>
          <w:sz w:val="22"/>
          <w:szCs w:val="22"/>
        </w:rPr>
        <w:t xml:space="preserve">Organization: </w:t>
      </w:r>
      <w:r>
        <w:rPr>
          <w:rFonts w:ascii="Calibri" w:cs="Calibri" w:eastAsia="Calibri" w:hAnsi="Calibri"/>
          <w:color w:val="1A1814"/>
          <w:sz w:val="22"/>
          <w:szCs w:val="22"/>
        </w:rPr>
        <w:t xml:space="preserve">Regional community foundation. Seven staff, twelve-member board, roughly $42M AUM, grantmaking across four counties.</w:t>
      </w:r>
    </w:p>
    <w:p>
      <w:pPr>
        <w:spacing w:after="100" w:line="280"/>
        <w:jc w:val="both"/>
      </w:pPr>
      <w:r>
        <w:rPr>
          <w:rFonts w:ascii="Calibri" w:cs="Calibri" w:eastAsia="Calibri" w:hAnsi="Calibri"/>
          <w:b/>
          <w:bCs/>
          <w:color w:val="1A1814"/>
          <w:sz w:val="22"/>
          <w:szCs w:val="22"/>
        </w:rPr>
        <w:t xml:space="preserve">The problem: </w:t>
      </w:r>
      <w:r>
        <w:rPr>
          <w:rFonts w:ascii="Calibri" w:cs="Calibri" w:eastAsia="Calibri" w:hAnsi="Calibri"/>
          <w:color w:val="1A1814"/>
          <w:sz w:val="22"/>
          <w:szCs w:val="22"/>
        </w:rPr>
        <w:t xml:space="preserve">The audit committee had asked for a formal risk register for two years running. The executive director kept intending to build one, but the work kept getting displaced by grantmaking cycles. The insurance broker had also flagged that the D&amp;O policy was underwritten against a stale risk profile. Neither problem was urgent enough to force action.</w:t>
      </w:r>
    </w:p>
    <w:p>
      <w:pPr>
        <w:spacing w:after="100" w:line="280"/>
        <w:jc w:val="both"/>
      </w:pPr>
      <w:r>
        <w:rPr>
          <w:rFonts w:ascii="Calibri" w:cs="Calibri" w:eastAsia="Calibri" w:hAnsi="Calibri"/>
          <w:b/>
          <w:bCs/>
          <w:color w:val="1A1814"/>
          <w:sz w:val="22"/>
          <w:szCs w:val="22"/>
        </w:rPr>
        <w:t xml:space="preserve">What they did with Akili: </w:t>
      </w:r>
      <w:r>
        <w:rPr>
          <w:rFonts w:ascii="Calibri" w:cs="Calibri" w:eastAsia="Calibri" w:hAnsi="Calibri"/>
          <w:color w:val="1A1814"/>
          <w:sz w:val="22"/>
          <w:szCs w:val="22"/>
        </w:rPr>
        <w:t xml:space="preserve">The executive director completed the assessment across all ten pillars in a single afternoon, then reviewed the output with the board chair. It surfaced three material gaps the ED had not previously articulated: a concentration in one donor family representing 34% of unrestricted giving, no documented ED succession plan, and cyber controls that would not survive a donor-facing incident. The board received a summary at its next quarterly meeting and adopted a prioritized six-month remediation plan drawn from the Akili recommendations.</w:t>
      </w:r>
    </w:p>
    <w:p>
      <w:pPr>
        <w:spacing w:after="100" w:line="280"/>
        <w:jc w:val="both"/>
      </w:pPr>
      <w:r>
        <w:rPr>
          <w:rFonts w:ascii="Calibri" w:cs="Calibri" w:eastAsia="Calibri" w:hAnsi="Calibri"/>
          <w:b/>
          <w:bCs/>
          <w:color w:val="1A1814"/>
          <w:sz w:val="22"/>
          <w:szCs w:val="22"/>
        </w:rPr>
        <w:t xml:space="preserve">Outcome: </w:t>
      </w:r>
      <w:r>
        <w:rPr>
          <w:rFonts w:ascii="Calibri" w:cs="Calibri" w:eastAsia="Calibri" w:hAnsi="Calibri"/>
          <w:color w:val="1A1814"/>
          <w:sz w:val="22"/>
          <w:szCs w:val="22"/>
        </w:rPr>
        <w:t xml:space="preserve">Within six months the foundation had a documented succession plan, a diversified donor-outreach program, and a cyber-controls uplift that satisfied the D&amp;O renewal. The audit committee had, for the first time, a defensible risk register produced from a single methodology. Total staff time: roughly fourteen hours across the ED, ops manager, and board chair.</w:t>
      </w:r>
    </w:p>
    <w:p>
      <w:pPr>
        <w:pStyle w:val="Heading2"/>
        <w:spacing w:after="100" w:before="200"/>
      </w:pPr>
      <w:r>
        <w:rPr>
          <w:rFonts w:ascii="Calibri" w:cs="Calibri" w:eastAsia="Calibri" w:hAnsi="Calibri"/>
          <w:b/>
          <w:bCs/>
          <w:color w:val="1A1814"/>
          <w:sz w:val="26"/>
          <w:szCs w:val="26"/>
        </w:rPr>
        <w:t xml:space="preserve">5.7 Pricing — per-organization tiers</w:t>
      </w:r>
    </w:p>
    <w:p>
      <w:pPr>
        <w:spacing w:after="120" w:line="280"/>
        <w:jc w:val="both"/>
      </w:pPr>
      <w:r>
        <w:rPr>
          <w:rFonts w:ascii="Calibri" w:cs="Calibri" w:eastAsia="Calibri" w:hAnsi="Calibri"/>
          <w:color w:val="1A1814"/>
          <w:sz w:val="22"/>
          <w:szCs w:val="22"/>
        </w:rPr>
        <w:t xml:space="preserve">Public, self-serve. Backed by SELF_SERVE_TIERS in src/lib/billing/tier-catalog.ts with real amounts fetched from Stripe via fetchPublicTierPricing at render time. [TBD] below marks dollar values to confirm before launch.</w:t>
      </w:r>
    </w:p>
    <w:p>
      <w:pPr>
        <w:pStyle w:val="ListParagraph"/>
        <w:numPr>
          <w:ilvl w:val="0"/>
          <w:numId w:val="2"/>
        </w:numPr>
        <w:spacing w:after="60" w:line="280"/>
      </w:pPr>
      <w:r>
        <w:rPr>
          <w:rFonts w:ascii="Calibri" w:cs="Calibri" w:eastAsia="Calibri" w:hAnsi="Calibri"/>
          <w:b/>
          <w:bCs/>
          <w:color w:val="1A1814"/>
          <w:sz w:val="22"/>
          <w:szCs w:val="22"/>
        </w:rPr>
        <w:t xml:space="preserve">Essentials — [TBD] / month. </w:t>
      </w:r>
      <w:r>
        <w:rPr>
          <w:rFonts w:ascii="Calibri" w:cs="Calibri" w:eastAsia="Calibri" w:hAnsi="Calibri"/>
          <w:color w:val="1A1814"/>
          <w:sz w:val="22"/>
          <w:szCs w:val="22"/>
        </w:rPr>
        <w:t xml:space="preserve">A single organization-wide assessment, PDF report, and prioritized action plan. Right for a small business or nonprofit doing its first structured risk deliverable.</w:t>
      </w:r>
    </w:p>
    <w:p>
      <w:pPr>
        <w:pStyle w:val="ListParagraph"/>
        <w:numPr>
          <w:ilvl w:val="0"/>
          <w:numId w:val="2"/>
        </w:numPr>
        <w:spacing w:after="60" w:line="280"/>
      </w:pPr>
      <w:r>
        <w:rPr>
          <w:rFonts w:ascii="Calibri" w:cs="Calibri" w:eastAsia="Calibri" w:hAnsi="Calibri"/>
          <w:b/>
          <w:bCs/>
          <w:color w:val="1A1814"/>
          <w:sz w:val="22"/>
          <w:szCs w:val="22"/>
        </w:rPr>
        <w:t xml:space="preserve">Professional — [TBD] / month. </w:t>
      </w:r>
      <w:r>
        <w:rPr>
          <w:rFonts w:ascii="Calibri" w:cs="Calibri" w:eastAsia="Calibri" w:hAnsi="Calibri"/>
          <w:color w:val="1A1814"/>
          <w:sz w:val="22"/>
          <w:szCs w:val="22"/>
        </w:rPr>
        <w:t xml:space="preserve">Everything in Essentials, plus custom framing (funder-specific control language), branded reports, and shareable board access.</w:t>
      </w:r>
    </w:p>
    <w:p>
      <w:pPr>
        <w:pStyle w:val="ListParagraph"/>
        <w:numPr>
          <w:ilvl w:val="0"/>
          <w:numId w:val="2"/>
        </w:numPr>
        <w:spacing w:after="60" w:line="280"/>
      </w:pPr>
      <w:r>
        <w:rPr>
          <w:rFonts w:ascii="Calibri" w:cs="Calibri" w:eastAsia="Calibri" w:hAnsi="Calibri"/>
          <w:b/>
          <w:bCs/>
          <w:color w:val="1A1814"/>
          <w:sz w:val="22"/>
          <w:szCs w:val="22"/>
        </w:rPr>
        <w:t xml:space="preserve">Business — [TBD] / month. </w:t>
      </w:r>
      <w:r>
        <w:rPr>
          <w:rFonts w:ascii="Calibri" w:cs="Calibri" w:eastAsia="Calibri" w:hAnsi="Calibri"/>
          <w:color w:val="1A1814"/>
          <w:sz w:val="22"/>
          <w:szCs w:val="22"/>
        </w:rPr>
        <w:t xml:space="preserve">Everything in Professional, plus implementation tracking with owners and dates. Right for organizations reporting to a board or funder on remediation progress.</w:t>
      </w:r>
    </w:p>
    <w:p>
      <w:pPr>
        <w:pStyle w:val="ListParagraph"/>
        <w:numPr>
          <w:ilvl w:val="0"/>
          <w:numId w:val="2"/>
        </w:numPr>
        <w:spacing w:after="60" w:line="280"/>
      </w:pPr>
      <w:r>
        <w:rPr>
          <w:rFonts w:ascii="Calibri" w:cs="Calibri" w:eastAsia="Calibri" w:hAnsi="Calibri"/>
          <w:b/>
          <w:bCs/>
          <w:color w:val="1A1814"/>
          <w:sz w:val="22"/>
          <w:szCs w:val="22"/>
        </w:rPr>
        <w:t xml:space="preserve">Intelligence — [TBD] / month. </w:t>
      </w:r>
      <w:r>
        <w:rPr>
          <w:rFonts w:ascii="Calibri" w:cs="Calibri" w:eastAsia="Calibri" w:hAnsi="Calibri"/>
          <w:color w:val="1A1814"/>
          <w:sz w:val="22"/>
          <w:szCs w:val="22"/>
        </w:rPr>
        <w:t xml:space="preserve">Everything in Business, plus scheduled reassessments and year-over-year comparison. Right for NGOs and larger nonprofits with annual funder due-diligence cycles.</w:t>
      </w:r>
    </w:p>
    <w:p>
      <w:pPr>
        <w:spacing w:after="100" w:line="280"/>
        <w:jc w:val="both"/>
      </w:pPr>
      <w:r>
        <w:rPr>
          <w:rFonts w:ascii="Calibri" w:cs="Calibri" w:eastAsia="Calibri" w:hAnsi="Calibri"/>
          <w:b/>
          <w:bCs/>
          <w:color w:val="1A1814"/>
          <w:sz w:val="22"/>
          <w:szCs w:val="22"/>
        </w:rPr>
        <w:t xml:space="preserve">Nonprofit and NGO discount: </w:t>
      </w:r>
      <w:r>
        <w:rPr>
          <w:rFonts w:ascii="Calibri" w:cs="Calibri" w:eastAsia="Calibri" w:hAnsi="Calibri"/>
          <w:color w:val="1A1814"/>
          <w:sz w:val="22"/>
          <w:szCs w:val="22"/>
        </w:rPr>
        <w:t xml:space="preserve">Recommendation: 30–50% off the corresponding tier for verified 501(c)(3) organizations, with self-serve verification at signup (EIN + charity-database lookup). The nonprofit motion stays fully self-serve. Discount level is [TBD] — see §10.</w:t>
      </w:r>
    </w:p>
    <w:p>
      <w:pPr>
        <w:pStyle w:val="Heading3"/>
        <w:spacing w:after="80" w:before="160"/>
      </w:pPr>
      <w:r>
        <w:rPr>
          <w:rFonts w:ascii="Calibri" w:cs="Calibri" w:eastAsia="Calibri" w:hAnsi="Calibri"/>
          <w:b/>
          <w:bCs/>
          <w:i w:val="false"/>
          <w:iCs w:val="false"/>
          <w:color w:val="1A1814"/>
          <w:sz w:val="22"/>
          <w:szCs w:val="22"/>
        </w:rPr>
        <w:t xml:space="preserve">Configuration-as-a-Service (optional)</w:t>
      </w:r>
    </w:p>
    <w:p>
      <w:pPr>
        <w:spacing w:after="120" w:line="280"/>
        <w:jc w:val="both"/>
      </w:pPr>
      <w:r>
        <w:rPr>
          <w:rFonts w:ascii="Calibri" w:cs="Calibri" w:eastAsia="Calibri" w:hAnsi="Calibri"/>
          <w:color w:val="1A1814"/>
          <w:sz w:val="22"/>
          <w:szCs w:val="22"/>
        </w:rPr>
        <w:t xml:space="preserve">For buyers who prefer white-glove setup. Akili's team configures pillars, questions, scoring, and report templates for the customer as a paid engagement on top of the subscription. Turnaround one to three weeks depending on scope. Two tiers: Setup [TBD, suggested $2,500–$5,000] and Custom Methodology [TBD, suggested $7,500–$15,000], plus retainer-based Ongoing Advisory [Contact for pricing]. Presented as a short section below the pricing table ("Prefer white-glove setup?"), not as a gate.</w:t>
      </w:r>
    </w:p>
    <w:p>
      <w:r>
        <w:br w:type="page"/>
      </w:r>
    </w:p>
    <w:p>
      <w:pPr>
        <w:pStyle w:val="Heading1"/>
        <w:spacing w:after="140" w:before="260"/>
      </w:pPr>
      <w:r>
        <w:rPr>
          <w:rFonts w:ascii="Calibri" w:cs="Calibri" w:eastAsia="Calibri" w:hAnsi="Calibri"/>
          <w:b/>
          <w:bCs/>
          <w:color w:val="1A1814"/>
          <w:sz w:val="30"/>
          <w:szCs w:val="30"/>
        </w:rPr>
        <w:t xml:space="preserve">6. Tab B — For Practitioners</w:t>
      </w:r>
    </w:p>
    <w:p>
      <w:pPr>
        <w:spacing w:after="120" w:line="280"/>
        <w:jc w:val="both"/>
      </w:pPr>
      <w:r>
        <w:rPr>
          <w:rFonts w:ascii="Calibri" w:cs="Calibri" w:eastAsia="Calibri" w:hAnsi="Calibri"/>
          <w:color w:val="1A1814"/>
          <w:sz w:val="22"/>
          <w:szCs w:val="22"/>
        </w:rPr>
        <w:t xml:space="preserve">Route: /practitioners. Serves consultants, fractional CISOs, fractional CFOs, tax professionals, compliance consultants, and MSSPs — professionals running risk assessments on behalf of a book of business clients. Tone: professional-to-professional. Reader has an existing practice and is evaluating Akili as a productized methodology to add to it.</w:t>
      </w:r>
    </w:p>
    <w:p>
      <w:pPr>
        <w:pStyle w:val="Heading2"/>
        <w:spacing w:after="100" w:before="200"/>
      </w:pPr>
      <w:r>
        <w:rPr>
          <w:rFonts w:ascii="Calibri" w:cs="Calibri" w:eastAsia="Calibri" w:hAnsi="Calibri"/>
          <w:b/>
          <w:bCs/>
          <w:color w:val="1A1814"/>
          <w:sz w:val="26"/>
          <w:szCs w:val="26"/>
        </w:rPr>
        <w:t xml:space="preserve">6.1 Hero</w:t>
      </w:r>
    </w:p>
    <w:p>
      <w:pPr>
        <w:spacing w:after="100" w:line="280"/>
        <w:jc w:val="both"/>
      </w:pPr>
      <w:r>
        <w:rPr>
          <w:rFonts w:ascii="Calibri" w:cs="Calibri" w:eastAsia="Calibri" w:hAnsi="Calibri"/>
          <w:b/>
          <w:bCs/>
          <w:color w:val="1A1814"/>
          <w:sz w:val="22"/>
          <w:szCs w:val="22"/>
        </w:rPr>
        <w:t xml:space="preserve">Kicker: </w:t>
      </w:r>
      <w:r>
        <w:rPr>
          <w:rFonts w:ascii="Calibri" w:cs="Calibri" w:eastAsia="Calibri" w:hAnsi="Calibri"/>
          <w:color w:val="1A1814"/>
          <w:sz w:val="22"/>
          <w:szCs w:val="22"/>
        </w:rPr>
        <w:t xml:space="preserve">For consultants, fractional executives, and client-serving professionals</w:t>
      </w:r>
    </w:p>
    <w:p>
      <w:pPr>
        <w:spacing w:after="100" w:line="280"/>
        <w:jc w:val="both"/>
      </w:pPr>
      <w:r>
        <w:rPr>
          <w:rFonts w:ascii="Calibri" w:cs="Calibri" w:eastAsia="Calibri" w:hAnsi="Calibri"/>
          <w:b/>
          <w:bCs/>
          <w:color w:val="1A1814"/>
          <w:sz w:val="22"/>
          <w:szCs w:val="22"/>
        </w:rPr>
        <w:t xml:space="preserve">Headline: </w:t>
      </w:r>
      <w:r>
        <w:rPr>
          <w:rFonts w:ascii="Calibri" w:cs="Calibri" w:eastAsia="Calibri" w:hAnsi="Calibri"/>
          <w:color w:val="1A1814"/>
          <w:sz w:val="22"/>
          <w:szCs w:val="22"/>
        </w:rPr>
        <w:t xml:space="preserve">Add a productized risk assessment to your practice.</w:t>
      </w:r>
    </w:p>
    <w:p>
      <w:pPr>
        <w:spacing w:after="100" w:line="280"/>
        <w:jc w:val="both"/>
      </w:pPr>
      <w:r>
        <w:rPr>
          <w:rFonts w:ascii="Calibri" w:cs="Calibri" w:eastAsia="Calibri" w:hAnsi="Calibri"/>
          <w:b/>
          <w:bCs/>
          <w:color w:val="1A1814"/>
          <w:sz w:val="22"/>
          <w:szCs w:val="22"/>
        </w:rPr>
        <w:t xml:space="preserve">Subhead: </w:t>
      </w:r>
      <w:r>
        <w:rPr>
          <w:rFonts w:ascii="Calibri" w:cs="Calibri" w:eastAsia="Calibri" w:hAnsi="Calibri"/>
          <w:color w:val="1A1814"/>
          <w:sz w:val="22"/>
          <w:szCs w:val="22"/>
        </w:rPr>
        <w:t xml:space="preserve">One methodology, your branding, a per-client pipeline. Assessments that go out under your name and deliverables you can produce for the whole book instead of hand-building per engagement.</w:t>
      </w:r>
    </w:p>
    <w:p>
      <w:pPr>
        <w:spacing w:after="100" w:line="280"/>
        <w:jc w:val="both"/>
      </w:pPr>
      <w:r>
        <w:rPr>
          <w:rFonts w:ascii="Calibri" w:cs="Calibri" w:eastAsia="Calibri" w:hAnsi="Calibri"/>
          <w:b/>
          <w:bCs/>
          <w:color w:val="1A1814"/>
          <w:sz w:val="22"/>
          <w:szCs w:val="22"/>
        </w:rPr>
        <w:t xml:space="preserve">Primary CTA: </w:t>
      </w:r>
      <w:r>
        <w:rPr>
          <w:rFonts w:ascii="Calibri" w:cs="Calibri" w:eastAsia="Calibri" w:hAnsi="Calibri"/>
          <w:color w:val="1A1814"/>
          <w:sz w:val="22"/>
          <w:szCs w:val="22"/>
        </w:rPr>
        <w:t xml:space="preserve">Create your practitioner workspace → /signup/practitioner (self-serve; routes into the existing advisor signup flow)</w:t>
      </w:r>
    </w:p>
    <w:p>
      <w:pPr>
        <w:spacing w:after="100" w:line="280"/>
        <w:jc w:val="both"/>
      </w:pPr>
      <w:r>
        <w:rPr>
          <w:rFonts w:ascii="Calibri" w:cs="Calibri" w:eastAsia="Calibri" w:hAnsi="Calibri"/>
          <w:b/>
          <w:bCs/>
          <w:color w:val="1A1814"/>
          <w:sz w:val="22"/>
          <w:szCs w:val="22"/>
        </w:rPr>
        <w:t xml:space="preserve">Secondary CTA: </w:t>
      </w:r>
      <w:r>
        <w:rPr>
          <w:rFonts w:ascii="Calibri" w:cs="Calibri" w:eastAsia="Calibri" w:hAnsi="Calibri"/>
          <w:color w:val="1A1814"/>
          <w:sz w:val="22"/>
          <w:szCs w:val="22"/>
        </w:rPr>
        <w:t xml:space="preserve">See pricing → anchors to §6.6</w:t>
      </w:r>
    </w:p>
    <w:p>
      <w:pPr>
        <w:pStyle w:val="Heading2"/>
        <w:spacing w:after="100" w:before="200"/>
      </w:pPr>
      <w:r>
        <w:rPr>
          <w:rFonts w:ascii="Calibri" w:cs="Calibri" w:eastAsia="Calibri" w:hAnsi="Calibri"/>
          <w:b/>
          <w:bCs/>
          <w:color w:val="1A1814"/>
          <w:sz w:val="26"/>
          <w:szCs w:val="26"/>
        </w:rPr>
        <w:t xml:space="preserve">6.2 The problem</w:t>
      </w:r>
    </w:p>
    <w:p>
      <w:pPr>
        <w:spacing w:after="120" w:line="280"/>
        <w:jc w:val="both"/>
      </w:pPr>
      <w:r>
        <w:rPr>
          <w:rFonts w:ascii="Calibri" w:cs="Calibri" w:eastAsia="Calibri" w:hAnsi="Calibri"/>
          <w:color w:val="1A1814"/>
          <w:sz w:val="22"/>
          <w:szCs w:val="22"/>
        </w:rPr>
        <w:t xml:space="preserve">Independent consultants and fractional executives already deliver risk assessment as a service. What most of them do not have is a productized methodology behind it. Each engagement starts from a blank Google Doc — a framework the consultant has cobbled together over years, defensible but hand-assembled, with deliverables produced in a slide deck written by hand. The engagement is billable, but the margin is capped by how much bespoke work each client requires.</w:t>
      </w:r>
    </w:p>
    <w:p>
      <w:pPr>
        <w:spacing w:after="120" w:line="280"/>
        <w:jc w:val="both"/>
      </w:pPr>
      <w:r>
        <w:rPr>
          <w:rFonts w:ascii="Calibri" w:cs="Calibri" w:eastAsia="Calibri" w:hAnsi="Calibri"/>
          <w:color w:val="1A1814"/>
          <w:sz w:val="22"/>
          <w:szCs w:val="22"/>
        </w:rPr>
        <w:t xml:space="preserve">The consequences are quiet. Fewer clients per year than the consultant could otherwise serve. Deliverables that vary in shape across engagements, making the methodology harder to demonstrate to a prospective client. Reports that require design work to look like they came from a real practice. And a persistent gap between the consultant's real expertise and the artifact the client actually receives.</w:t>
      </w:r>
    </w:p>
    <w:p>
      <w:pPr>
        <w:pStyle w:val="Heading2"/>
        <w:spacing w:after="100" w:before="200"/>
      </w:pPr>
      <w:r>
        <w:rPr>
          <w:rFonts w:ascii="Calibri" w:cs="Calibri" w:eastAsia="Calibri" w:hAnsi="Calibri"/>
          <w:b/>
          <w:bCs/>
          <w:color w:val="1A1814"/>
          <w:sz w:val="26"/>
          <w:szCs w:val="26"/>
        </w:rPr>
        <w:t xml:space="preserve">6.3 The Akili approach</w:t>
      </w:r>
    </w:p>
    <w:p>
      <w:pPr>
        <w:spacing w:after="120" w:line="280"/>
        <w:jc w:val="both"/>
      </w:pPr>
      <w:r>
        <w:rPr>
          <w:rFonts w:ascii="Calibri" w:cs="Calibri" w:eastAsia="Calibri" w:hAnsi="Calibri"/>
          <w:color w:val="1A1814"/>
          <w:sz w:val="22"/>
          <w:szCs w:val="22"/>
        </w:rPr>
        <w:t xml:space="preserve">Akili gives the practitioner a productized methodology under their own brand. A per-client pipeline. Custom pillars and questions if the practitioner has a differentiated framework. Branded reports that come out of the platform under the practitioner's name and domain. The result: more clients at the same margin, more consistent deliverables across the book, and a demonstrable methodology that helps close the next engagement.</w:t>
      </w:r>
    </w:p>
    <w:p>
      <w:pPr>
        <w:spacing w:after="120" w:line="280"/>
        <w:jc w:val="both"/>
      </w:pPr>
      <w:r>
        <w:rPr>
          <w:rFonts w:ascii="Calibri" w:cs="Calibri" w:eastAsia="Calibri" w:hAnsi="Calibri"/>
          <w:color w:val="1A1814"/>
          <w:sz w:val="22"/>
          <w:szCs w:val="22"/>
        </w:rPr>
        <w:t xml:space="preserve">The multi-tenant architecture behind this is the same one Akili built for the wealth-advisor market. A practitioner is a tenant; their business clients live in the pipeline. The tenancy model, the client-management workflow, the branded portal, and the custom-methodology tooling all exist today, unchanged. From the practitioner's perspective, Akili is a productized version of the workflow they already run — with the assessment framework and the reporting stack already built.</w:t>
      </w:r>
    </w:p>
    <w:p>
      <w:pPr>
        <w:pStyle w:val="Heading2"/>
        <w:spacing w:after="100" w:before="200"/>
      </w:pPr>
      <w:r>
        <w:rPr>
          <w:rFonts w:ascii="Calibri" w:cs="Calibri" w:eastAsia="Calibri" w:hAnsi="Calibri"/>
          <w:b/>
          <w:bCs/>
          <w:color w:val="1A1814"/>
          <w:sz w:val="26"/>
          <w:szCs w:val="26"/>
        </w:rPr>
        <w:t xml:space="preserve">6.4 How it works</w:t>
      </w:r>
    </w:p>
    <w:p>
      <w:pPr>
        <w:pStyle w:val="ListParagraph"/>
        <w:numPr>
          <w:ilvl w:val="0"/>
          <w:numId w:val="2"/>
        </w:numPr>
        <w:spacing w:after="60" w:line="280"/>
      </w:pPr>
      <w:r>
        <w:rPr>
          <w:rFonts w:ascii="Calibri" w:cs="Calibri" w:eastAsia="Calibri" w:hAnsi="Calibri"/>
          <w:b/>
          <w:bCs/>
          <w:color w:val="1A1814"/>
          <w:sz w:val="22"/>
          <w:szCs w:val="22"/>
        </w:rPr>
        <w:t xml:space="preserve">Onboard the client. </w:t>
      </w:r>
      <w:r>
        <w:rPr>
          <w:rFonts w:ascii="Calibri" w:cs="Calibri" w:eastAsia="Calibri" w:hAnsi="Calibri"/>
          <w:color w:val="1A1814"/>
          <w:sz w:val="22"/>
          <w:szCs w:val="22"/>
        </w:rPr>
        <w:t xml:space="preserve">Invite each client into your workspace. They complete the assessment against your methodology; you can preview or facilitate the intake.</w:t>
      </w:r>
    </w:p>
    <w:p>
      <w:pPr>
        <w:pStyle w:val="ListParagraph"/>
        <w:numPr>
          <w:ilvl w:val="0"/>
          <w:numId w:val="2"/>
        </w:numPr>
        <w:spacing w:after="60" w:line="280"/>
      </w:pPr>
      <w:r>
        <w:rPr>
          <w:rFonts w:ascii="Calibri" w:cs="Calibri" w:eastAsia="Calibri" w:hAnsi="Calibri"/>
          <w:b/>
          <w:bCs/>
          <w:color w:val="1A1814"/>
          <w:sz w:val="22"/>
          <w:szCs w:val="22"/>
        </w:rPr>
        <w:t xml:space="preserve">Score and prioritize. </w:t>
      </w:r>
      <w:r>
        <w:rPr>
          <w:rFonts w:ascii="Calibri" w:cs="Calibri" w:eastAsia="Calibri" w:hAnsi="Calibri"/>
          <w:color w:val="1A1814"/>
          <w:sz w:val="22"/>
          <w:szCs w:val="22"/>
        </w:rPr>
        <w:t xml:space="preserve">Every client is scored on the same methodology, comparable across your book. Recommendations are ranked by impact and effort.</w:t>
      </w:r>
    </w:p>
    <w:p>
      <w:pPr>
        <w:pStyle w:val="ListParagraph"/>
        <w:numPr>
          <w:ilvl w:val="0"/>
          <w:numId w:val="2"/>
        </w:numPr>
        <w:spacing w:after="60" w:line="280"/>
      </w:pPr>
      <w:r>
        <w:rPr>
          <w:rFonts w:ascii="Calibri" w:cs="Calibri" w:eastAsia="Calibri" w:hAnsi="Calibri"/>
          <w:b/>
          <w:bCs/>
          <w:color w:val="1A1814"/>
          <w:sz w:val="22"/>
          <w:szCs w:val="22"/>
        </w:rPr>
        <w:t xml:space="preserve">Deliver under your brand. </w:t>
      </w:r>
      <w:r>
        <w:rPr>
          <w:rFonts w:ascii="Calibri" w:cs="Calibri" w:eastAsia="Calibri" w:hAnsi="Calibri"/>
          <w:color w:val="1A1814"/>
          <w:sz w:val="22"/>
          <w:szCs w:val="22"/>
        </w:rPr>
        <w:t xml:space="preserve">Reports export under your firm's branding, with your subdomain and your logo. The client sees your practice; Akili is invisible.</w:t>
      </w:r>
    </w:p>
    <w:p>
      <w:pPr>
        <w:pStyle w:val="Heading2"/>
        <w:spacing w:after="100" w:before="200"/>
      </w:pPr>
      <w:r>
        <w:rPr>
          <w:rFonts w:ascii="Calibri" w:cs="Calibri" w:eastAsia="Calibri" w:hAnsi="Calibri"/>
          <w:b/>
          <w:bCs/>
          <w:color w:val="1A1814"/>
          <w:sz w:val="26"/>
          <w:szCs w:val="26"/>
        </w:rPr>
        <w:t xml:space="preserve">6.5 Vignettes</w:t>
      </w:r>
    </w:p>
    <w:p>
      <w:pPr>
        <w:pStyle w:val="Heading3"/>
        <w:spacing w:after="80" w:before="160"/>
      </w:pPr>
      <w:r>
        <w:rPr>
          <w:rFonts w:ascii="Calibri" w:cs="Calibri" w:eastAsia="Calibri" w:hAnsi="Calibri"/>
          <w:b/>
          <w:bCs/>
          <w:i w:val="false"/>
          <w:iCs w:val="false"/>
          <w:color w:val="1A1814"/>
          <w:sz w:val="22"/>
          <w:szCs w:val="22"/>
        </w:rPr>
        <w:t xml:space="preserve">A fractional CISO with a book of business clients</w:t>
      </w:r>
    </w:p>
    <w:p>
      <w:pPr>
        <w:spacing w:after="120" w:line="280"/>
        <w:jc w:val="both"/>
      </w:pPr>
      <w:r>
        <w:rPr>
          <w:rFonts w:ascii="Calibri" w:cs="Calibri" w:eastAsia="Calibri" w:hAnsi="Calibri"/>
          <w:color w:val="1A1814"/>
          <w:sz w:val="22"/>
          <w:szCs w:val="22"/>
        </w:rPr>
        <w:t xml:space="preserve">An independent fractional Chief Information Security Officer serving eight mid-sized business clients across professional services, healthcare, and light manufacturing. Every engagement previously started from a blank framework the CISO had built over years — defensible but hand-assembled per client, with reports written in a slide deck. Akili gives the CISO a per-client pipeline in a branded workspace, one methodology applied across every client, and reports that export under their own brand. The measurable effect is capacity: the CISO can take on more clients at the same margin because the deliverable is no longer bespoke, and existing clients get more consistent output because the methodology is stable across the book.</w:t>
      </w:r>
    </w:p>
    <w:p>
      <w:pPr>
        <w:pStyle w:val="Heading3"/>
        <w:spacing w:after="80" w:before="160"/>
      </w:pPr>
      <w:r>
        <w:rPr>
          <w:rFonts w:ascii="Calibri" w:cs="Calibri" w:eastAsia="Calibri" w:hAnsi="Calibri"/>
          <w:b/>
          <w:bCs/>
          <w:i w:val="false"/>
          <w:iCs w:val="false"/>
          <w:color w:val="1A1814"/>
          <w:sz w:val="22"/>
          <w:szCs w:val="22"/>
        </w:rPr>
        <w:t xml:space="preserve">A tax professional adding risk advisory to their practice</w:t>
      </w:r>
    </w:p>
    <w:p>
      <w:pPr>
        <w:spacing w:after="120" w:line="280"/>
        <w:jc w:val="both"/>
      </w:pPr>
      <w:r>
        <w:rPr>
          <w:rFonts w:ascii="Calibri" w:cs="Calibri" w:eastAsia="Calibri" w:hAnsi="Calibri"/>
          <w:color w:val="1A1814"/>
          <w:sz w:val="22"/>
          <w:szCs w:val="22"/>
        </w:rPr>
        <w:t xml:space="preserve">A mid-sized tax and accounting practice serving business owners across the region. Clients increasingly ask for advisory beyond tax — succession, insurance adequacy, cyber posture, key-person continuity — but the practice does not want to build the assessment framework itself. Akili gives the practice a productized risk assessment they can offer as an added-value engagement, using Akili's methodology under the practice's own brand. Adds a defensible advisory line without hiring specialist staff, and gives the practice a recurring conversation with clients that has nothing to do with April 15.</w:t>
      </w:r>
    </w:p>
    <w:p>
      <w:pPr>
        <w:pStyle w:val="Heading3"/>
        <w:spacing w:after="80" w:before="160"/>
      </w:pPr>
      <w:r>
        <w:rPr>
          <w:rFonts w:ascii="Calibri" w:cs="Calibri" w:eastAsia="Calibri" w:hAnsi="Calibri"/>
          <w:b/>
          <w:bCs/>
          <w:i w:val="false"/>
          <w:iCs w:val="false"/>
          <w:color w:val="1A1814"/>
          <w:sz w:val="22"/>
          <w:szCs w:val="22"/>
        </w:rPr>
        <w:t xml:space="preserve">An independent compliance consultant</w:t>
      </w:r>
    </w:p>
    <w:p>
      <w:pPr>
        <w:spacing w:after="120" w:line="280"/>
        <w:jc w:val="both"/>
      </w:pPr>
      <w:r>
        <w:rPr>
          <w:rFonts w:ascii="Calibri" w:cs="Calibri" w:eastAsia="Calibri" w:hAnsi="Calibri"/>
          <w:color w:val="1A1814"/>
          <w:sz w:val="22"/>
          <w:szCs w:val="22"/>
        </w:rPr>
        <w:t xml:space="preserve">A solo compliance consultant helping small and mid-sized organizations get ready for SOC 2, HIPAA, or grant-specific control frameworks. Each engagement previously involved reassembling a control-mapping spreadsheet against the target framework. Akili gives the consultant a per-client workspace with the framework pre-mapped into the pillar structure, so each engagement starts from a working template rather than a blank sheet. Time-to-first-deliverable drops sharply; the consultant can move from readiness assessment into remediation faster.</w:t>
      </w:r>
    </w:p>
    <w:p>
      <w:pPr>
        <w:pStyle w:val="Heading2"/>
        <w:spacing w:after="100" w:before="200"/>
      </w:pPr>
      <w:r>
        <w:rPr>
          <w:rFonts w:ascii="Calibri" w:cs="Calibri" w:eastAsia="Calibri" w:hAnsi="Calibri"/>
          <w:b/>
          <w:bCs/>
          <w:color w:val="1A1814"/>
          <w:sz w:val="26"/>
          <w:szCs w:val="26"/>
        </w:rPr>
        <w:t xml:space="preserve">6.6 Sample case study — illustrative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8C6A2F" w:sz="6"/>
              <w:left w:val="single" w:color="8C6A2F" w:sz="6"/>
              <w:bottom w:val="single" w:color="8C6A2F" w:sz="6"/>
              <w:right w:val="single" w:color="8C6A2F" w:sz="6"/>
            </w:tcBorders>
            <w:shd w:fill="F6F1E6" w:color="auto" w:val="clear"/>
            <w:tcMar>
              <w:top w:type="dxa" w:w="200"/>
              <w:left w:type="dxa" w:w="240"/>
              <w:bottom w:type="dxa" w:w="200"/>
              <w:right w:type="dxa" w:w="240"/>
            </w:tcMar>
          </w:tcPr>
          <w:p>
            <w:pPr>
              <w:spacing w:after="100"/>
            </w:pPr>
            <w:r>
              <w:rPr>
                <w:rFonts w:ascii="Calibri" w:cs="Calibri" w:eastAsia="Calibri" w:hAnsi="Calibri"/>
                <w:b/>
                <w:bCs/>
                <w:color w:val="1A1814"/>
                <w:sz w:val="22"/>
                <w:szCs w:val="22"/>
              </w:rPr>
              <w:t xml:space="preserve">[Sample Case Study — Illustrative]</w:t>
            </w:r>
          </w:p>
          <w:p>
            <w:pPr>
              <w:spacing w:after="80" w:line="280"/>
            </w:pPr>
            <w:r>
              <w:rPr>
                <w:rFonts w:ascii="Calibri" w:cs="Calibri" w:eastAsia="Calibri" w:hAnsi="Calibri"/>
                <w:color w:val="1A1814"/>
                <w:sz w:val="22"/>
                <w:szCs w:val="22"/>
              </w:rPr>
              <w:t xml:space="preserve">Fictional but realistic. Will be replaced with a real practitioner case study once a live pilot consents to be named.</w:t>
            </w:r>
          </w:p>
        </w:tc>
      </w:tr>
    </w:tbl>
    <w:p>
      <w:pPr>
        <w:pStyle w:val="Heading3"/>
        <w:spacing w:after="80" w:before="160"/>
      </w:pPr>
      <w:r>
        <w:rPr>
          <w:rFonts w:ascii="Calibri" w:cs="Calibri" w:eastAsia="Calibri" w:hAnsi="Calibri"/>
          <w:b/>
          <w:bCs/>
          <w:i w:val="false"/>
          <w:iCs w:val="false"/>
          <w:color w:val="1A1814"/>
          <w:sz w:val="22"/>
          <w:szCs w:val="22"/>
        </w:rPr>
        <w:t xml:space="preserve">Marta Kessler — Kessler Fractional Security</w:t>
      </w:r>
    </w:p>
    <w:p>
      <w:pPr>
        <w:spacing w:after="100" w:line="280"/>
        <w:jc w:val="both"/>
      </w:pPr>
      <w:r>
        <w:rPr>
          <w:rFonts w:ascii="Calibri" w:cs="Calibri" w:eastAsia="Calibri" w:hAnsi="Calibri"/>
          <w:b/>
          <w:bCs/>
          <w:color w:val="1A1814"/>
          <w:sz w:val="22"/>
          <w:szCs w:val="22"/>
        </w:rPr>
        <w:t xml:space="preserve">Practice: </w:t>
      </w:r>
      <w:r>
        <w:rPr>
          <w:rFonts w:ascii="Calibri" w:cs="Calibri" w:eastAsia="Calibri" w:hAnsi="Calibri"/>
          <w:color w:val="1A1814"/>
          <w:sz w:val="22"/>
          <w:szCs w:val="22"/>
        </w:rPr>
        <w:t xml:space="preserve">Solo fractional CISO practice. Five ongoing business clients (professional services, healthcare, light manufacturing), one new engagement per quarter.</w:t>
      </w:r>
    </w:p>
    <w:p>
      <w:pPr>
        <w:spacing w:after="100" w:line="280"/>
        <w:jc w:val="both"/>
      </w:pPr>
      <w:r>
        <w:rPr>
          <w:rFonts w:ascii="Calibri" w:cs="Calibri" w:eastAsia="Calibri" w:hAnsi="Calibri"/>
          <w:b/>
          <w:bCs/>
          <w:color w:val="1A1814"/>
          <w:sz w:val="22"/>
          <w:szCs w:val="22"/>
        </w:rPr>
        <w:t xml:space="preserve">The problem: </w:t>
      </w:r>
      <w:r>
        <w:rPr>
          <w:rFonts w:ascii="Calibri" w:cs="Calibri" w:eastAsia="Calibri" w:hAnsi="Calibri"/>
          <w:color w:val="1A1814"/>
          <w:sz w:val="22"/>
          <w:szCs w:val="22"/>
        </w:rPr>
        <w:t xml:space="preserve">Every client engagement started from a Google Doc template Marta had built over ten years — defensible but bespoke per client. Report production took roughly forty hours per engagement. Two prospective clients had recently walked because Marta could not produce a comparable sample deliverable fast enough. Her book was constrained by production capacity, not demand.</w:t>
      </w:r>
    </w:p>
    <w:p>
      <w:pPr>
        <w:spacing w:after="100" w:line="280"/>
        <w:jc w:val="both"/>
      </w:pPr>
      <w:r>
        <w:rPr>
          <w:rFonts w:ascii="Calibri" w:cs="Calibri" w:eastAsia="Calibri" w:hAnsi="Calibri"/>
          <w:b/>
          <w:bCs/>
          <w:color w:val="1A1814"/>
          <w:sz w:val="22"/>
          <w:szCs w:val="22"/>
        </w:rPr>
        <w:t xml:space="preserve">What she did with Akili: </w:t>
      </w:r>
      <w:r>
        <w:rPr>
          <w:rFonts w:ascii="Calibri" w:cs="Calibri" w:eastAsia="Calibri" w:hAnsi="Calibri"/>
          <w:color w:val="1A1814"/>
          <w:sz w:val="22"/>
          <w:szCs w:val="22"/>
        </w:rPr>
        <w:t xml:space="preserve">Marta configured her existing methodology into Akili's pillar structure over a two-week onboarding, then migrated her five active clients into the workspace. New client engagements now use the Akili-hosted pipeline with her branding; she facilitates the intake in a working session rather than authoring the assessment by hand. Reports export under her firm's brand and are ready for client review within the same week.</w:t>
      </w:r>
    </w:p>
    <w:p>
      <w:pPr>
        <w:spacing w:after="100" w:line="280"/>
        <w:jc w:val="both"/>
      </w:pPr>
      <w:r>
        <w:rPr>
          <w:rFonts w:ascii="Calibri" w:cs="Calibri" w:eastAsia="Calibri" w:hAnsi="Calibri"/>
          <w:b/>
          <w:bCs/>
          <w:color w:val="1A1814"/>
          <w:sz w:val="22"/>
          <w:szCs w:val="22"/>
        </w:rPr>
        <w:t xml:space="preserve">Outcome: </w:t>
      </w:r>
      <w:r>
        <w:rPr>
          <w:rFonts w:ascii="Calibri" w:cs="Calibri" w:eastAsia="Calibri" w:hAnsi="Calibri"/>
          <w:color w:val="1A1814"/>
          <w:sz w:val="22"/>
          <w:szCs w:val="22"/>
        </w:rPr>
        <w:t xml:space="preserve">Report production dropped from roughly forty hours to eight hours per engagement. Marta added three new clients in the following two quarters — a 60% increase in book size — at unchanged margins. Prospective clients now see a real sample deliverable in the first call. Total setup time: roughly twenty-five hours across two weeks.</w:t>
      </w:r>
    </w:p>
    <w:p>
      <w:pPr>
        <w:pStyle w:val="Heading2"/>
        <w:spacing w:after="100" w:before="200"/>
      </w:pPr>
      <w:r>
        <w:rPr>
          <w:rFonts w:ascii="Calibri" w:cs="Calibri" w:eastAsia="Calibri" w:hAnsi="Calibri"/>
          <w:b/>
          <w:bCs/>
          <w:color w:val="1A1814"/>
          <w:sz w:val="26"/>
          <w:szCs w:val="26"/>
        </w:rPr>
        <w:t xml:space="preserve">6.7 Pricing — per-seat / per-client tiers</w:t>
      </w:r>
    </w:p>
    <w:p>
      <w:pPr>
        <w:spacing w:after="120" w:line="280"/>
        <w:jc w:val="both"/>
      </w:pPr>
      <w:r>
        <w:rPr>
          <w:rFonts w:ascii="Calibri" w:cs="Calibri" w:eastAsia="Calibri" w:hAnsi="Calibri"/>
          <w:color w:val="1A1814"/>
          <w:sz w:val="22"/>
          <w:szCs w:val="22"/>
        </w:rPr>
        <w:t xml:space="preserve">Public, self-serve. Reuses SELF_SERVE_TIERS exactly as the wealth-advisor tab does today. Practitioner Essentials → Professional → Business → Intelligence match advisor tiers on client-count limits and features; real prices fetched from Stripe at render time.</w:t>
      </w:r>
    </w:p>
    <w:p>
      <w:pPr>
        <w:pStyle w:val="ListParagraph"/>
        <w:numPr>
          <w:ilvl w:val="0"/>
          <w:numId w:val="2"/>
        </w:numPr>
        <w:spacing w:after="60" w:line="280"/>
      </w:pPr>
      <w:r>
        <w:rPr>
          <w:rFonts w:ascii="Calibri" w:cs="Calibri" w:eastAsia="Calibri" w:hAnsi="Calibri"/>
          <w:b/>
          <w:bCs/>
          <w:color w:val="1A1814"/>
          <w:sz w:val="22"/>
          <w:szCs w:val="22"/>
        </w:rPr>
        <w:t xml:space="preserve">Essentials — [TBD] / month. </w:t>
      </w:r>
      <w:r>
        <w:rPr>
          <w:rFonts w:ascii="Calibri" w:cs="Calibri" w:eastAsia="Calibri" w:hAnsi="Calibri"/>
          <w:color w:val="1A1814"/>
          <w:sz w:val="22"/>
          <w:szCs w:val="22"/>
        </w:rPr>
        <w:t xml:space="preserve">One practitioner seat, up to 25 business clients. Standard Akili methodology, branded PDF reports, per-client pipeline. Right for an independent consultant or a solo fractional CISO.</w:t>
      </w:r>
    </w:p>
    <w:p>
      <w:pPr>
        <w:pStyle w:val="ListParagraph"/>
        <w:numPr>
          <w:ilvl w:val="0"/>
          <w:numId w:val="2"/>
        </w:numPr>
        <w:spacing w:after="60" w:line="280"/>
      </w:pPr>
      <w:r>
        <w:rPr>
          <w:rFonts w:ascii="Calibri" w:cs="Calibri" w:eastAsia="Calibri" w:hAnsi="Calibri"/>
          <w:b/>
          <w:bCs/>
          <w:color w:val="1A1814"/>
          <w:sz w:val="22"/>
          <w:szCs w:val="22"/>
        </w:rPr>
        <w:t xml:space="preserve">Professional — [TBD] / month. </w:t>
      </w:r>
      <w:r>
        <w:rPr>
          <w:rFonts w:ascii="Calibri" w:cs="Calibri" w:eastAsia="Calibri" w:hAnsi="Calibri"/>
          <w:color w:val="1A1814"/>
          <w:sz w:val="22"/>
          <w:szCs w:val="22"/>
        </w:rPr>
        <w:t xml:space="preserve">Everything in Essentials, up to 50 clients. Custom methodology, custom pillars and questions, white-label branding, custom subdomain. Right for an established practice with a differentiated methodology.</w:t>
      </w:r>
    </w:p>
    <w:p>
      <w:pPr>
        <w:pStyle w:val="ListParagraph"/>
        <w:numPr>
          <w:ilvl w:val="0"/>
          <w:numId w:val="2"/>
        </w:numPr>
        <w:spacing w:after="60" w:line="280"/>
      </w:pPr>
      <w:r>
        <w:rPr>
          <w:rFonts w:ascii="Calibri" w:cs="Calibri" w:eastAsia="Calibri" w:hAnsi="Calibri"/>
          <w:b/>
          <w:bCs/>
          <w:color w:val="1A1814"/>
          <w:sz w:val="22"/>
          <w:szCs w:val="22"/>
        </w:rPr>
        <w:t xml:space="preserve">Business — [TBD] / month. </w:t>
      </w:r>
      <w:r>
        <w:rPr>
          <w:rFonts w:ascii="Calibri" w:cs="Calibri" w:eastAsia="Calibri" w:hAnsi="Calibri"/>
          <w:color w:val="1A1814"/>
          <w:sz w:val="22"/>
          <w:szCs w:val="22"/>
        </w:rPr>
        <w:t xml:space="preserve">Everything in Professional, up to 100 clients. Implementation tracking across the book. Right for a multi-consultant firm delivering ongoing remediation.</w:t>
      </w:r>
    </w:p>
    <w:p>
      <w:pPr>
        <w:pStyle w:val="ListParagraph"/>
        <w:numPr>
          <w:ilvl w:val="0"/>
          <w:numId w:val="2"/>
        </w:numPr>
        <w:spacing w:after="60" w:line="280"/>
      </w:pPr>
      <w:r>
        <w:rPr>
          <w:rFonts w:ascii="Calibri" w:cs="Calibri" w:eastAsia="Calibri" w:hAnsi="Calibri"/>
          <w:b/>
          <w:bCs/>
          <w:color w:val="1A1814"/>
          <w:sz w:val="22"/>
          <w:szCs w:val="22"/>
        </w:rPr>
        <w:t xml:space="preserve">Intelligence — [TBD] / month. </w:t>
      </w:r>
      <w:r>
        <w:rPr>
          <w:rFonts w:ascii="Calibri" w:cs="Calibri" w:eastAsia="Calibri" w:hAnsi="Calibri"/>
          <w:color w:val="1A1814"/>
          <w:sz w:val="22"/>
          <w:szCs w:val="22"/>
        </w:rPr>
        <w:t xml:space="preserve">Everything in Business, up to 150 clients. Scheduled reassessments, portfolio analytics, continuous monitoring. Right for MSSPs and larger fractional-executive practices.</w:t>
      </w:r>
    </w:p>
    <w:p>
      <w:pPr>
        <w:pStyle w:val="Heading3"/>
        <w:spacing w:after="80" w:before="160"/>
      </w:pPr>
      <w:r>
        <w:rPr>
          <w:rFonts w:ascii="Calibri" w:cs="Calibri" w:eastAsia="Calibri" w:hAnsi="Calibri"/>
          <w:b/>
          <w:bCs/>
          <w:i w:val="false"/>
          <w:iCs w:val="false"/>
          <w:color w:val="1A1814"/>
          <w:sz w:val="22"/>
          <w:szCs w:val="22"/>
        </w:rPr>
        <w:t xml:space="preserve">White-label configuration (optional)</w:t>
      </w:r>
    </w:p>
    <w:p>
      <w:pPr>
        <w:spacing w:after="120" w:line="280"/>
        <w:jc w:val="both"/>
      </w:pPr>
      <w:r>
        <w:rPr>
          <w:rFonts w:ascii="Calibri" w:cs="Calibri" w:eastAsia="Calibri" w:hAnsi="Calibri"/>
          <w:color w:val="1A1814"/>
          <w:sz w:val="22"/>
          <w:szCs w:val="22"/>
        </w:rPr>
        <w:t xml:space="preserve">For practitioners who want their custom methodology configured rather than building it themselves in the admin UI. Akili configures pillars, questions, scoring weights, and report templates against the practitioner's framework and brand. One-time engagement, [TBD, suggested $7,500–$15,000]. Presented as a short section below the pricing table, mirroring the Configuration-as-a-Service line on the Organizations tab.</w:t>
      </w:r>
    </w:p>
    <w:p>
      <w:r>
        <w:br w:type="page"/>
      </w:r>
    </w:p>
    <w:p>
      <w:pPr>
        <w:pStyle w:val="Heading1"/>
        <w:spacing w:after="140" w:before="260"/>
      </w:pPr>
      <w:r>
        <w:rPr>
          <w:rFonts w:ascii="Calibri" w:cs="Calibri" w:eastAsia="Calibri" w:hAnsi="Calibri"/>
          <w:b/>
          <w:bCs/>
          <w:color w:val="1A1814"/>
          <w:sz w:val="30"/>
          <w:szCs w:val="30"/>
        </w:rPr>
        <w:t xml:space="preserve">7. Copy Tone — Two Voices</w:t>
      </w:r>
    </w:p>
    <w:p>
      <w:pPr>
        <w:spacing w:after="120" w:line="280"/>
        <w:jc w:val="both"/>
      </w:pPr>
      <w:r>
        <w:rPr>
          <w:rFonts w:ascii="Calibri" w:cs="Calibri" w:eastAsia="Calibri" w:hAnsi="Calibri"/>
          <w:color w:val="1A1814"/>
          <w:sz w:val="22"/>
          <w:szCs w:val="22"/>
        </w:rPr>
        <w:t xml:space="preserve">The two tabs share a design system and a methodology, but the register differs deliberately.</w:t>
      </w:r>
    </w:p>
    <w:p>
      <w:pPr>
        <w:pStyle w:val="Heading3"/>
        <w:spacing w:after="80" w:before="160"/>
      </w:pPr>
      <w:r>
        <w:rPr>
          <w:rFonts w:ascii="Calibri" w:cs="Calibri" w:eastAsia="Calibri" w:hAnsi="Calibri"/>
          <w:b/>
          <w:bCs/>
          <w:i w:val="false"/>
          <w:iCs w:val="false"/>
          <w:color w:val="1A1814"/>
          <w:sz w:val="22"/>
          <w:szCs w:val="22"/>
        </w:rPr>
        <w:t xml:space="preserve">Organizations</w:t>
      </w:r>
    </w:p>
    <w:p>
      <w:pPr>
        <w:spacing w:after="120" w:line="280"/>
        <w:jc w:val="both"/>
      </w:pPr>
      <w:r>
        <w:rPr>
          <w:rFonts w:ascii="Calibri" w:cs="Calibri" w:eastAsia="Calibri" w:hAnsi="Calibri"/>
          <w:color w:val="1A1814"/>
          <w:sz w:val="22"/>
          <w:szCs w:val="22"/>
        </w:rPr>
        <w:t xml:space="preserve">Warm, pragmatic, empowering. The reader is a busy generalist who is doing this on top of another job. Sentences should reduce anxiety, not raise it. Prefer plain verbs and named outcomes ("produces a board packet," "finishes in an afternoon") over aspirational adjectives. Match the register of the existing For Families copy but slightly more operational.</w:t>
      </w:r>
    </w:p>
    <w:p>
      <w:pPr>
        <w:pStyle w:val="Heading3"/>
        <w:spacing w:after="80" w:before="160"/>
      </w:pPr>
      <w:r>
        <w:rPr>
          <w:rFonts w:ascii="Calibri" w:cs="Calibri" w:eastAsia="Calibri" w:hAnsi="Calibri"/>
          <w:b/>
          <w:bCs/>
          <w:i w:val="false"/>
          <w:iCs w:val="false"/>
          <w:color w:val="1A1814"/>
          <w:sz w:val="22"/>
          <w:szCs w:val="22"/>
        </w:rPr>
        <w:t xml:space="preserve">Practitioners</w:t>
      </w:r>
    </w:p>
    <w:p>
      <w:pPr>
        <w:spacing w:after="120" w:line="280"/>
        <w:jc w:val="both"/>
      </w:pPr>
      <w:r>
        <w:rPr>
          <w:rFonts w:ascii="Calibri" w:cs="Calibri" w:eastAsia="Calibri" w:hAnsi="Calibri"/>
          <w:color w:val="1A1814"/>
          <w:sz w:val="22"/>
          <w:szCs w:val="22"/>
        </w:rPr>
        <w:t xml:space="preserve">Professional-to-professional, confident, respectful of expertise. The reader already has a practice and knows their domain; Akili is not teaching them what risk is. Prefer concrete practice outcomes ("more clients at the same margin," "faster report production," "comparable deliverables across your book") over aspirational positioning. Match the register of the existing For Firms copy — direct, workmanlike.</w:t>
      </w:r>
    </w:p>
    <w:p>
      <w:pPr>
        <w:pStyle w:val="Heading3"/>
        <w:spacing w:after="80" w:before="160"/>
      </w:pPr>
      <w:r>
        <w:rPr>
          <w:rFonts w:ascii="Calibri" w:cs="Calibri" w:eastAsia="Calibri" w:hAnsi="Calibri"/>
          <w:b/>
          <w:bCs/>
          <w:i w:val="false"/>
          <w:iCs w:val="false"/>
          <w:color w:val="1A1814"/>
          <w:sz w:val="22"/>
          <w:szCs w:val="22"/>
        </w:rPr>
        <w:t xml:space="preserve">Words to avoid on both tabs</w:t>
      </w:r>
    </w:p>
    <w:p>
      <w:pPr>
        <w:spacing w:after="120" w:line="280"/>
        <w:jc w:val="both"/>
      </w:pPr>
      <w:r>
        <w:rPr>
          <w:rFonts w:ascii="Calibri" w:cs="Calibri" w:eastAsia="Calibri" w:hAnsi="Calibri"/>
          <w:color w:val="1A1814"/>
          <w:sz w:val="22"/>
          <w:szCs w:val="22"/>
        </w:rPr>
        <w:t xml:space="preserve">Synergize, leverage, unlock, empower (as a verb), holistic, best-in-class, next-generation, transform. These read as fluff to both audiences and make the pages sound less serious than the product is.</w:t>
      </w:r>
    </w:p>
    <w:p>
      <w:pPr>
        <w:pStyle w:val="Heading1"/>
        <w:spacing w:after="140" w:before="260"/>
      </w:pPr>
      <w:r>
        <w:rPr>
          <w:rFonts w:ascii="Calibri" w:cs="Calibri" w:eastAsia="Calibri" w:hAnsi="Calibri"/>
          <w:b/>
          <w:bCs/>
          <w:color w:val="1A1814"/>
          <w:sz w:val="30"/>
          <w:szCs w:val="30"/>
        </w:rPr>
        <w:t xml:space="preserve">8. Design Notes</w:t>
      </w:r>
    </w:p>
    <w:p>
      <w:pPr>
        <w:spacing w:after="120" w:line="280"/>
        <w:jc w:val="both"/>
      </w:pPr>
      <w:r>
        <w:rPr>
          <w:rFonts w:ascii="Calibri" w:cs="Calibri" w:eastAsia="Calibri" w:hAnsi="Calibri"/>
          <w:color w:val="1A1814"/>
          <w:sz w:val="22"/>
          <w:szCs w:val="22"/>
        </w:rPr>
        <w:t xml:space="preserve">Both tabs extend the existing marketing design system rather than reinventing it. Layout, typography, spacing, and color match the current /families and /firms tabs at the level of components used and visual rhythm.</w:t>
      </w:r>
    </w:p>
    <w:p>
      <w:pPr>
        <w:pStyle w:val="Heading3"/>
        <w:spacing w:after="80" w:before="160"/>
      </w:pPr>
      <w:r>
        <w:rPr>
          <w:rFonts w:ascii="Calibri" w:cs="Calibri" w:eastAsia="Calibri" w:hAnsi="Calibri"/>
          <w:b/>
          <w:bCs/>
          <w:i w:val="false"/>
          <w:iCs w:val="false"/>
          <w:color w:val="1A1814"/>
          <w:sz w:val="22"/>
          <w:szCs w:val="22"/>
        </w:rPr>
        <w:t xml:space="preserve">Reused components (both tabs)</w:t>
      </w:r>
    </w:p>
    <w:p>
      <w:pPr>
        <w:pStyle w:val="ListParagraph"/>
        <w:numPr>
          <w:ilvl w:val="0"/>
          <w:numId w:val="2"/>
        </w:numPr>
        <w:spacing w:after="60" w:line="280"/>
      </w:pPr>
      <w:r>
        <w:rPr>
          <w:rFonts w:ascii="Calibri" w:cs="Calibri" w:eastAsia="Calibri" w:hAnsi="Calibri"/>
          <w:color w:val="1A1814"/>
          <w:sz w:val="22"/>
          <w:szCs w:val="22"/>
        </w:rPr>
        <w:t xml:space="preserve">PublicPageShell — page frame, header, footer</w:t>
      </w:r>
    </w:p>
    <w:p>
      <w:pPr>
        <w:pStyle w:val="ListParagraph"/>
        <w:numPr>
          <w:ilvl w:val="0"/>
          <w:numId w:val="2"/>
        </w:numPr>
        <w:spacing w:after="60" w:line="280"/>
      </w:pPr>
      <w:r>
        <w:rPr>
          <w:rFonts w:ascii="Calibri" w:cs="Calibri" w:eastAsia="Calibri" w:hAnsi="Calibri"/>
          <w:color w:val="1A1814"/>
          <w:sz w:val="22"/>
          <w:szCs w:val="22"/>
        </w:rPr>
        <w:t xml:space="preserve">SiteHeader / SiteHeaderNav — nav with the two new tabs wired in</w:t>
      </w:r>
    </w:p>
    <w:p>
      <w:pPr>
        <w:pStyle w:val="ListParagraph"/>
        <w:numPr>
          <w:ilvl w:val="0"/>
          <w:numId w:val="2"/>
        </w:numPr>
        <w:spacing w:after="60" w:line="280"/>
      </w:pPr>
      <w:r>
        <w:rPr>
          <w:rFonts w:ascii="Calibri" w:cs="Calibri" w:eastAsia="Calibri" w:hAnsi="Calibri"/>
          <w:color w:val="1A1814"/>
          <w:sz w:val="22"/>
          <w:szCs w:val="22"/>
        </w:rPr>
        <w:t xml:space="preserve">LandingHero — with tab-specific copy from HERO_AUDIENCE_CONTENT</w:t>
      </w:r>
    </w:p>
    <w:p>
      <w:pPr>
        <w:pStyle w:val="ListParagraph"/>
        <w:numPr>
          <w:ilvl w:val="0"/>
          <w:numId w:val="2"/>
        </w:numPr>
        <w:spacing w:after="60" w:line="280"/>
      </w:pPr>
      <w:r>
        <w:rPr>
          <w:rFonts w:ascii="Calibri" w:cs="Calibri" w:eastAsia="Calibri" w:hAnsi="Calibri"/>
          <w:color w:val="1A1814"/>
          <w:sz w:val="22"/>
          <w:szCs w:val="22"/>
        </w:rPr>
        <w:t xml:space="preserve">LandingHowItWorks — three-step framing, per-tab copy variant</w:t>
      </w:r>
    </w:p>
    <w:p>
      <w:pPr>
        <w:pStyle w:val="ListParagraph"/>
        <w:numPr>
          <w:ilvl w:val="0"/>
          <w:numId w:val="2"/>
        </w:numPr>
        <w:spacing w:after="60" w:line="280"/>
      </w:pPr>
      <w:r>
        <w:rPr>
          <w:rFonts w:ascii="Calibri" w:cs="Calibri" w:eastAsia="Calibri" w:hAnsi="Calibri"/>
          <w:color w:val="1A1814"/>
          <w:sz w:val="22"/>
          <w:szCs w:val="22"/>
        </w:rPr>
        <w:t xml:space="preserve">LandingOutcomesSection — per-tab copy variant</w:t>
      </w:r>
    </w:p>
    <w:p>
      <w:pPr>
        <w:pStyle w:val="ListParagraph"/>
        <w:numPr>
          <w:ilvl w:val="0"/>
          <w:numId w:val="2"/>
        </w:numPr>
        <w:spacing w:after="60" w:line="280"/>
      </w:pPr>
      <w:r>
        <w:rPr>
          <w:rFonts w:ascii="Calibri" w:cs="Calibri" w:eastAsia="Calibri" w:hAnsi="Calibri"/>
          <w:color w:val="1A1814"/>
          <w:sz w:val="22"/>
          <w:szCs w:val="22"/>
        </w:rPr>
        <w:t xml:space="preserve">PricingTierGrid — same tier grid, framed for the audience (per-org vs per-client presentation wrapper)</w:t>
      </w:r>
    </w:p>
    <w:p>
      <w:pPr>
        <w:pStyle w:val="ListParagraph"/>
        <w:numPr>
          <w:ilvl w:val="0"/>
          <w:numId w:val="2"/>
        </w:numPr>
        <w:spacing w:after="60" w:line="280"/>
      </w:pPr>
      <w:r>
        <w:rPr>
          <w:rFonts w:ascii="Calibri" w:cs="Calibri" w:eastAsia="Calibri" w:hAnsi="Calibri"/>
          <w:color w:val="1A1814"/>
          <w:sz w:val="22"/>
          <w:szCs w:val="22"/>
        </w:rPr>
        <w:t xml:space="preserve">SiteFooter — unchanged</w:t>
      </w:r>
    </w:p>
    <w:p>
      <w:pPr>
        <w:pStyle w:val="Heading3"/>
        <w:spacing w:after="80" w:before="160"/>
      </w:pPr>
      <w:r>
        <w:rPr>
          <w:rFonts w:ascii="Calibri" w:cs="Calibri" w:eastAsia="Calibri" w:hAnsi="Calibri"/>
          <w:b/>
          <w:bCs/>
          <w:i w:val="false"/>
          <w:iCs w:val="false"/>
          <w:color w:val="1A1814"/>
          <w:sz w:val="22"/>
          <w:szCs w:val="22"/>
        </w:rPr>
        <w:t xml:space="preserve">New shared visual</w:t>
      </w:r>
    </w:p>
    <w:p>
      <w:pPr>
        <w:pStyle w:val="ListParagraph"/>
        <w:numPr>
          <w:ilvl w:val="0"/>
          <w:numId w:val="2"/>
        </w:numPr>
        <w:spacing w:after="60" w:line="280"/>
      </w:pPr>
      <w:r>
        <w:rPr>
          <w:rFonts w:ascii="Calibri" w:cs="Calibri" w:eastAsia="Calibri" w:hAnsi="Calibri"/>
          <w:color w:val="1A1814"/>
          <w:sz w:val="22"/>
          <w:szCs w:val="22"/>
        </w:rPr>
        <w:t xml:space="preserve">Optional: a single "three categories, ten pillars" illustration used on both tabs and on /how-it-works. Vector, matches the existing PlatformPillarRadarPreview aesthetic. Ships once, reused everywhere.</w:t>
      </w:r>
    </w:p>
    <w:p>
      <w:pPr>
        <w:pStyle w:val="Heading3"/>
        <w:spacing w:after="80" w:before="160"/>
      </w:pPr>
      <w:r>
        <w:rPr>
          <w:rFonts w:ascii="Calibri" w:cs="Calibri" w:eastAsia="Calibri" w:hAnsi="Calibri"/>
          <w:b/>
          <w:bCs/>
          <w:i w:val="false"/>
          <w:iCs w:val="false"/>
          <w:color w:val="1A1814"/>
          <w:sz w:val="22"/>
          <w:szCs w:val="22"/>
        </w:rPr>
        <w:t xml:space="preserve">Scoping principle</w:t>
      </w:r>
    </w:p>
    <w:p>
      <w:pPr>
        <w:spacing w:after="120" w:line="280"/>
        <w:jc w:val="both"/>
      </w:pPr>
      <w:r>
        <w:rPr>
          <w:rFonts w:ascii="Calibri" w:cs="Calibri" w:eastAsia="Calibri" w:hAnsi="Calibri"/>
          <w:color w:val="1A1814"/>
          <w:sz w:val="22"/>
          <w:szCs w:val="22"/>
        </w:rPr>
        <w:t xml:space="preserve">Both tabs render on the Akili marketing surface only, not on white-labeled advisor tenant subdomains. See §4 (nav-placement principle) and §9 (enforcement approach) for detail. This is a design constraint on the marketing nav — every tenant subdomain preserves the advisor's brand and audience positioning without Akili-owned segment tabs appearing beneath it.</w:t>
      </w:r>
    </w:p>
    <w:p>
      <w:pPr>
        <w:pStyle w:val="Heading1"/>
        <w:spacing w:after="140" w:before="260"/>
      </w:pPr>
      <w:r>
        <w:rPr>
          <w:rFonts w:ascii="Calibri" w:cs="Calibri" w:eastAsia="Calibri" w:hAnsi="Calibri"/>
          <w:b/>
          <w:bCs/>
          <w:color w:val="1A1814"/>
          <w:sz w:val="30"/>
          <w:szCs w:val="30"/>
        </w:rPr>
        <w:t xml:space="preserve">9. Implementation Plan</w:t>
      </w:r>
    </w:p>
    <w:p>
      <w:pPr>
        <w:spacing w:after="120" w:line="280"/>
        <w:jc w:val="both"/>
      </w:pPr>
      <w:r>
        <w:rPr>
          <w:rFonts w:ascii="Calibri" w:cs="Calibri" w:eastAsia="Calibri" w:hAnsi="Calibri"/>
          <w:color w:val="1A1814"/>
          <w:sz w:val="22"/>
          <w:szCs w:val="22"/>
        </w:rPr>
        <w:t xml:space="preserve">Marketing-only scope. No changes to the assessment engine, no changes to the tenancy model, no new backend. Practitioner audience reuses the existing advisor-tenant model unchanged. Estimated engineering effort: two to three days total for both tabs, up from one to two days for a single tab.</w:t>
      </w:r>
    </w:p>
    <w:p>
      <w:pPr>
        <w:pStyle w:val="Heading3"/>
        <w:spacing w:after="80" w:before="160"/>
      </w:pPr>
      <w:r>
        <w:rPr>
          <w:rFonts w:ascii="Calibri" w:cs="Calibri" w:eastAsia="Calibri" w:hAnsi="Calibri"/>
          <w:b/>
          <w:bCs/>
          <w:i w:val="false"/>
          <w:iCs w:val="false"/>
          <w:color w:val="1A1814"/>
          <w:sz w:val="22"/>
          <w:szCs w:val="22"/>
        </w:rPr>
        <w:t xml:space="preserve">Files to touch</w:t>
      </w:r>
    </w:p>
    <w:p>
      <w:pPr>
        <w:pStyle w:val="ListParagraph"/>
        <w:numPr>
          <w:ilvl w:val="0"/>
          <w:numId w:val="2"/>
        </w:numPr>
        <w:spacing w:after="60" w:line="280"/>
      </w:pPr>
      <w:r>
        <w:rPr>
          <w:rFonts w:ascii="Calibri" w:cs="Calibri" w:eastAsia="Calibri" w:hAnsi="Calibri"/>
          <w:b/>
          <w:bCs/>
          <w:color w:val="1A1814"/>
          <w:sz w:val="22"/>
          <w:szCs w:val="22"/>
        </w:rPr>
        <w:t xml:space="preserve">src/components/home/hero/hero-audience-content.ts: </w:t>
      </w:r>
      <w:r>
        <w:rPr>
          <w:rFonts w:ascii="Calibri" w:cs="Calibri" w:eastAsia="Calibri" w:hAnsi="Calibri"/>
          <w:color w:val="1A1814"/>
          <w:sz w:val="22"/>
          <w:szCs w:val="22"/>
        </w:rPr>
        <w:t xml:space="preserve">extend HeroAudience with "organizations" and "practitioners", add HERO_AUDIENCE_CONTENT entries with the copy from §5.1 and §6.1.</w:t>
      </w:r>
    </w:p>
    <w:p>
      <w:pPr>
        <w:pStyle w:val="ListParagraph"/>
        <w:numPr>
          <w:ilvl w:val="0"/>
          <w:numId w:val="2"/>
        </w:numPr>
        <w:spacing w:after="60" w:line="280"/>
      </w:pPr>
      <w:r>
        <w:rPr>
          <w:rFonts w:ascii="Calibri" w:cs="Calibri" w:eastAsia="Calibri" w:hAnsi="Calibri"/>
          <w:b/>
          <w:bCs/>
          <w:color w:val="1A1814"/>
          <w:sz w:val="22"/>
          <w:szCs w:val="22"/>
        </w:rPr>
        <w:t xml:space="preserve">src/lib/marketing/site-nav.ts: </w:t>
      </w:r>
      <w:r>
        <w:rPr>
          <w:rFonts w:ascii="Calibri" w:cs="Calibri" w:eastAsia="Calibri" w:hAnsi="Calibri"/>
          <w:color w:val="1A1814"/>
          <w:sz w:val="22"/>
          <w:szCs w:val="22"/>
        </w:rPr>
        <w:t xml:space="preserve">add two entries to SITE_AUDIENCE_NAV — Organizations and Practitioners — with test ids.</w:t>
      </w:r>
    </w:p>
    <w:p>
      <w:pPr>
        <w:pStyle w:val="ListParagraph"/>
        <w:numPr>
          <w:ilvl w:val="0"/>
          <w:numId w:val="2"/>
        </w:numPr>
        <w:spacing w:after="60" w:line="280"/>
      </w:pPr>
      <w:r>
        <w:rPr>
          <w:rFonts w:ascii="Calibri" w:cs="Calibri" w:eastAsia="Calibri" w:hAnsi="Calibri"/>
          <w:b/>
          <w:bCs/>
          <w:color w:val="1A1814"/>
          <w:sz w:val="22"/>
          <w:szCs w:val="22"/>
        </w:rPr>
        <w:t xml:space="preserve">src/lib/marketing/friendly-urls.ts: </w:t>
      </w:r>
      <w:r>
        <w:rPr>
          <w:rFonts w:ascii="Calibri" w:cs="Calibri" w:eastAsia="Calibri" w:hAnsi="Calibri"/>
          <w:color w:val="1A1814"/>
          <w:sz w:val="22"/>
          <w:szCs w:val="22"/>
        </w:rPr>
        <w:t xml:space="preserve">extend audience-path resolution to handle "organizations" → "/organizations" and "practitioners" → "/practitioners".</w:t>
      </w:r>
    </w:p>
    <w:p>
      <w:pPr>
        <w:pStyle w:val="ListParagraph"/>
        <w:numPr>
          <w:ilvl w:val="0"/>
          <w:numId w:val="2"/>
        </w:numPr>
        <w:spacing w:after="60" w:line="280"/>
      </w:pPr>
      <w:r>
        <w:rPr>
          <w:rFonts w:ascii="Calibri" w:cs="Calibri" w:eastAsia="Calibri" w:hAnsi="Calibri"/>
          <w:b/>
          <w:bCs/>
          <w:color w:val="1A1814"/>
          <w:sz w:val="22"/>
          <w:szCs w:val="22"/>
        </w:rPr>
        <w:t xml:space="preserve">src/app/organizations/page.tsx and src/app/practitioners/page.tsx: </w:t>
      </w:r>
      <w:r>
        <w:rPr>
          <w:rFonts w:ascii="Calibri" w:cs="Calibri" w:eastAsia="Calibri" w:hAnsi="Calibri"/>
          <w:color w:val="1A1814"/>
          <w:sz w:val="22"/>
          <w:szCs w:val="22"/>
        </w:rPr>
        <w:t xml:space="preserve">two new routes, each mirroring src/app/firms/page.tsx with the appropriate audience initial value.</w:t>
      </w:r>
    </w:p>
    <w:p>
      <w:pPr>
        <w:pStyle w:val="ListParagraph"/>
        <w:numPr>
          <w:ilvl w:val="0"/>
          <w:numId w:val="2"/>
        </w:numPr>
        <w:spacing w:after="60" w:line="280"/>
      </w:pPr>
      <w:r>
        <w:rPr>
          <w:rFonts w:ascii="Calibri" w:cs="Calibri" w:eastAsia="Calibri" w:hAnsi="Calibri"/>
          <w:b/>
          <w:bCs/>
          <w:color w:val="1A1814"/>
          <w:sz w:val="22"/>
          <w:szCs w:val="22"/>
        </w:rPr>
        <w:t xml:space="preserve">src/components/marketing/HomePageContent.tsx (or per-tab equivalents): </w:t>
      </w:r>
      <w:r>
        <w:rPr>
          <w:rFonts w:ascii="Calibri" w:cs="Calibri" w:eastAsia="Calibri" w:hAnsi="Calibri"/>
          <w:color w:val="1A1814"/>
          <w:sz w:val="22"/>
          <w:szCs w:val="22"/>
        </w:rPr>
        <w:t xml:space="preserve">either add branches for the two new audiences with tab-specific hero/vignettes/pricing, or spin up two dedicated page components (OrganizationsPageContent, PractitionersPageContent). Recommendation: dedicated components — the two audiences differ enough that a shared branch is a maintenance drag.</w:t>
      </w:r>
    </w:p>
    <w:p>
      <w:pPr>
        <w:pStyle w:val="ListParagraph"/>
        <w:numPr>
          <w:ilvl w:val="0"/>
          <w:numId w:val="2"/>
        </w:numPr>
        <w:spacing w:after="60" w:line="280"/>
      </w:pPr>
      <w:r>
        <w:rPr>
          <w:rFonts w:ascii="Calibri" w:cs="Calibri" w:eastAsia="Calibri" w:hAnsi="Calibri"/>
          <w:b/>
          <w:bCs/>
          <w:color w:val="1A1814"/>
          <w:sz w:val="22"/>
          <w:szCs w:val="22"/>
        </w:rPr>
        <w:t xml:space="preserve">src/components/marketing/PricingTierGrid.tsx: </w:t>
      </w:r>
      <w:r>
        <w:rPr>
          <w:rFonts w:ascii="Calibri" w:cs="Calibri" w:eastAsia="Calibri" w:hAnsi="Calibri"/>
          <w:color w:val="1A1814"/>
          <w:sz w:val="22"/>
          <w:szCs w:val="22"/>
        </w:rPr>
        <w:t xml:space="preserve">verify the tier grid renders acceptably in both framing wrappers (per-org vs per-client). No changes to the Stripe pricing fetch or tier catalog.</w:t>
      </w:r>
    </w:p>
    <w:p>
      <w:pPr>
        <w:pStyle w:val="ListParagraph"/>
        <w:numPr>
          <w:ilvl w:val="0"/>
          <w:numId w:val="2"/>
        </w:numPr>
        <w:spacing w:after="60" w:line="280"/>
      </w:pPr>
      <w:r>
        <w:rPr>
          <w:rFonts w:ascii="Calibri" w:cs="Calibri" w:eastAsia="Calibri" w:hAnsi="Calibri"/>
          <w:b/>
          <w:bCs/>
          <w:color w:val="1A1814"/>
          <w:sz w:val="22"/>
          <w:szCs w:val="22"/>
        </w:rPr>
        <w:t xml:space="preserve">Practitioner signup entry point: </w:t>
      </w:r>
      <w:r>
        <w:rPr>
          <w:rFonts w:ascii="Calibri" w:cs="Calibri" w:eastAsia="Calibri" w:hAnsi="Calibri"/>
          <w:color w:val="1A1814"/>
          <w:sz w:val="22"/>
          <w:szCs w:val="22"/>
        </w:rPr>
        <w:t xml:space="preserve">add /signup/practitioner as an alias or preset that lands in the existing advisor signup flow with practitioner-flavored copy. No changes to auth, role model, or tenant provisioning.</w:t>
      </w:r>
    </w:p>
    <w:p>
      <w:pPr>
        <w:pStyle w:val="ListParagraph"/>
        <w:numPr>
          <w:ilvl w:val="0"/>
          <w:numId w:val="2"/>
        </w:numPr>
        <w:spacing w:after="60" w:line="280"/>
      </w:pPr>
      <w:r>
        <w:rPr>
          <w:rFonts w:ascii="Calibri" w:cs="Calibri" w:eastAsia="Calibri" w:hAnsi="Calibri"/>
          <w:b/>
          <w:bCs/>
          <w:color w:val="1A1814"/>
          <w:sz w:val="22"/>
          <w:szCs w:val="22"/>
        </w:rPr>
        <w:t xml:space="preserve">src/components/marketing/MobileNavMenu.tsx: </w:t>
      </w:r>
      <w:r>
        <w:rPr>
          <w:rFonts w:ascii="Calibri" w:cs="Calibri" w:eastAsia="Calibri" w:hAnsi="Calibri"/>
          <w:color w:val="1A1814"/>
          <w:sz w:val="22"/>
          <w:szCs w:val="22"/>
        </w:rPr>
        <w:t xml:space="preserve">verify five audience tabs render acceptably in the mobile menu (see §4 nav density check).</w:t>
      </w:r>
    </w:p>
    <w:p>
      <w:pPr>
        <w:pStyle w:val="ListParagraph"/>
        <w:numPr>
          <w:ilvl w:val="0"/>
          <w:numId w:val="2"/>
        </w:numPr>
        <w:spacing w:after="60" w:line="280"/>
      </w:pPr>
      <w:r>
        <w:rPr>
          <w:rFonts w:ascii="Calibri" w:cs="Calibri" w:eastAsia="Calibri" w:hAnsi="Calibri"/>
          <w:b/>
          <w:bCs/>
          <w:color w:val="1A1814"/>
          <w:sz w:val="22"/>
          <w:szCs w:val="22"/>
        </w:rPr>
        <w:t xml:space="preserve">src/app/sitemap.ts and llms.txt: </w:t>
      </w:r>
      <w:r>
        <w:rPr>
          <w:rFonts w:ascii="Calibri" w:cs="Calibri" w:eastAsia="Calibri" w:hAnsi="Calibri"/>
          <w:color w:val="1A1814"/>
          <w:sz w:val="22"/>
          <w:szCs w:val="22"/>
        </w:rPr>
        <w:t xml:space="preserve">add both new routes to sitemap and llms discovery.</w:t>
      </w:r>
    </w:p>
    <w:p>
      <w:pPr>
        <w:pStyle w:val="ListParagraph"/>
        <w:numPr>
          <w:ilvl w:val="0"/>
          <w:numId w:val="2"/>
        </w:numPr>
        <w:spacing w:after="60" w:line="280"/>
      </w:pPr>
      <w:r>
        <w:rPr>
          <w:rFonts w:ascii="Calibri" w:cs="Calibri" w:eastAsia="Calibri" w:hAnsi="Calibri"/>
          <w:b/>
          <w:bCs/>
          <w:color w:val="1A1814"/>
          <w:sz w:val="22"/>
          <w:szCs w:val="22"/>
        </w:rPr>
        <w:t xml:space="preserve">Host gating — Akili apex only: </w:t>
      </w:r>
      <w:r>
        <w:rPr>
          <w:rFonts w:ascii="Calibri" w:cs="Calibri" w:eastAsia="Calibri" w:hAnsi="Calibri"/>
          <w:color w:val="1A1814"/>
          <w:sz w:val="22"/>
          <w:szCs w:val="22"/>
        </w:rPr>
        <w:t xml:space="preserve">the two new tabs must render on akilirisk.com only, not on white-labeled advisor tenant subdomains ({advisor}.akilirisk.com). The existing proxy (src/proxy.ts) already routes tenant subdomains into the branded route group, so tenant traffic never reaches /organizations or /practitioners as routes; the remaining risk is the marketing nav itself. Confirm SiteHeaderNav / MobileNavMenu render on Akili apex only, or add a host check (or reuse whatever existing pattern gates Akili-only marketing elements from tenant portals) so the two new tab entries are omitted from the nav on branded subdomains. If SITE_AUDIENCE_NAV is consumed identically on both surfaces today, add a per-surface filter — Organizations and Practitioners appear on Akili apex; Families, Firms, and How It Works remain visible on both.</w:t>
      </w:r>
    </w:p>
    <w:p>
      <w:pPr>
        <w:pStyle w:val="Heading3"/>
        <w:spacing w:after="80" w:before="160"/>
      </w:pPr>
      <w:r>
        <w:rPr>
          <w:rFonts w:ascii="Calibri" w:cs="Calibri" w:eastAsia="Calibri" w:hAnsi="Calibri"/>
          <w:b/>
          <w:bCs/>
          <w:i w:val="false"/>
          <w:iCs w:val="false"/>
          <w:color w:val="1A1814"/>
          <w:sz w:val="22"/>
          <w:szCs w:val="22"/>
        </w:rPr>
        <w:t xml:space="preserve">Explicitly out of scope</w:t>
      </w:r>
    </w:p>
    <w:p>
      <w:pPr>
        <w:pStyle w:val="ListParagraph"/>
        <w:numPr>
          <w:ilvl w:val="0"/>
          <w:numId w:val="2"/>
        </w:numPr>
        <w:spacing w:after="60" w:line="280"/>
      </w:pPr>
      <w:r>
        <w:rPr>
          <w:rFonts w:ascii="Calibri" w:cs="Calibri" w:eastAsia="Calibri" w:hAnsi="Calibri"/>
          <w:color w:val="1A1814"/>
          <w:sz w:val="22"/>
          <w:szCs w:val="22"/>
        </w:rPr>
        <w:t xml:space="preserve">No changes to the assessment engine, scoring model, question bank, or recommendation rules.</w:t>
      </w:r>
    </w:p>
    <w:p>
      <w:pPr>
        <w:pStyle w:val="ListParagraph"/>
        <w:numPr>
          <w:ilvl w:val="0"/>
          <w:numId w:val="2"/>
        </w:numPr>
        <w:spacing w:after="60" w:line="280"/>
      </w:pPr>
      <w:r>
        <w:rPr>
          <w:rFonts w:ascii="Calibri" w:cs="Calibri" w:eastAsia="Calibri" w:hAnsi="Calibri"/>
          <w:color w:val="1A1814"/>
          <w:sz w:val="22"/>
          <w:szCs w:val="22"/>
        </w:rPr>
        <w:t xml:space="preserve">No changes to authentication, role model, subdomain provisioning, or the multi-tenant advisor model.</w:t>
      </w:r>
    </w:p>
    <w:p>
      <w:pPr>
        <w:pStyle w:val="ListParagraph"/>
        <w:numPr>
          <w:ilvl w:val="0"/>
          <w:numId w:val="2"/>
        </w:numPr>
        <w:spacing w:after="60" w:line="280"/>
      </w:pPr>
      <w:r>
        <w:rPr>
          <w:rFonts w:ascii="Calibri" w:cs="Calibri" w:eastAsia="Calibri" w:hAnsi="Calibri"/>
          <w:color w:val="1A1814"/>
          <w:sz w:val="22"/>
          <w:szCs w:val="22"/>
        </w:rPr>
        <w:t xml:space="preserve">No new database migrations. No new Stripe products required for launch — existing SELF_SERVE_TIERS cover both audiences.</w:t>
      </w:r>
    </w:p>
    <w:p>
      <w:pPr>
        <w:pStyle w:val="ListParagraph"/>
        <w:numPr>
          <w:ilvl w:val="0"/>
          <w:numId w:val="2"/>
        </w:numPr>
        <w:spacing w:after="60" w:line="280"/>
      </w:pPr>
      <w:r>
        <w:rPr>
          <w:rFonts w:ascii="Calibri" w:cs="Calibri" w:eastAsia="Calibri" w:hAnsi="Calibri"/>
          <w:color w:val="1A1814"/>
          <w:sz w:val="22"/>
          <w:szCs w:val="22"/>
        </w:rPr>
        <w:t xml:space="preserve">Configuration-as-a-Service and white-label configuration are operational workstreams (contract template, scoping, delivery playbook), not code changes.</w:t>
      </w:r>
    </w:p>
    <w:p>
      <w:pPr>
        <w:pStyle w:val="Heading3"/>
        <w:spacing w:after="80" w:before="160"/>
      </w:pPr>
      <w:r>
        <w:rPr>
          <w:rFonts w:ascii="Calibri" w:cs="Calibri" w:eastAsia="Calibri" w:hAnsi="Calibri"/>
          <w:b/>
          <w:bCs/>
          <w:i w:val="false"/>
          <w:iCs w:val="false"/>
          <w:color w:val="1A1814"/>
          <w:sz w:val="22"/>
          <w:szCs w:val="22"/>
        </w:rPr>
        <w:t xml:space="preserve">QA checklist</w:t>
      </w:r>
    </w:p>
    <w:p>
      <w:pPr>
        <w:pStyle w:val="ListParagraph"/>
        <w:numPr>
          <w:ilvl w:val="0"/>
          <w:numId w:val="2"/>
        </w:numPr>
        <w:spacing w:after="60" w:line="280"/>
      </w:pPr>
      <w:r>
        <w:rPr>
          <w:rFonts w:ascii="Calibri" w:cs="Calibri" w:eastAsia="Calibri" w:hAnsi="Calibri"/>
          <w:color w:val="1A1814"/>
          <w:sz w:val="22"/>
          <w:szCs w:val="22"/>
        </w:rPr>
        <w:t xml:space="preserve">Both /organizations and /practitioners render correctly on desktop, tablet, and mobile.</w:t>
      </w:r>
    </w:p>
    <w:p>
      <w:pPr>
        <w:pStyle w:val="ListParagraph"/>
        <w:numPr>
          <w:ilvl w:val="0"/>
          <w:numId w:val="2"/>
        </w:numPr>
        <w:spacing w:after="60" w:line="280"/>
      </w:pPr>
      <w:r>
        <w:rPr>
          <w:rFonts w:ascii="Calibri" w:cs="Calibri" w:eastAsia="Calibri" w:hAnsi="Calibri"/>
          <w:color w:val="1A1814"/>
          <w:sz w:val="22"/>
          <w:szCs w:val="22"/>
        </w:rPr>
        <w:t xml:space="preserve">Both tabs visible and functional in the marketing header on every marketing route; mobile menu handles five audience entries.</w:t>
      </w:r>
    </w:p>
    <w:p>
      <w:pPr>
        <w:pStyle w:val="ListParagraph"/>
        <w:numPr>
          <w:ilvl w:val="0"/>
          <w:numId w:val="2"/>
        </w:numPr>
        <w:spacing w:after="60" w:line="280"/>
      </w:pPr>
      <w:r>
        <w:rPr>
          <w:rFonts w:ascii="Calibri" w:cs="Calibri" w:eastAsia="Calibri" w:hAnsi="Calibri"/>
          <w:color w:val="1A1814"/>
          <w:sz w:val="22"/>
          <w:szCs w:val="22"/>
        </w:rPr>
        <w:t xml:space="preserve">SEO metadata matches the pattern used by /families and /firms.</w:t>
      </w:r>
    </w:p>
    <w:p>
      <w:pPr>
        <w:pStyle w:val="ListParagraph"/>
        <w:numPr>
          <w:ilvl w:val="0"/>
          <w:numId w:val="2"/>
        </w:numPr>
        <w:spacing w:after="60" w:line="280"/>
      </w:pPr>
      <w:r>
        <w:rPr>
          <w:rFonts w:ascii="Calibri" w:cs="Calibri" w:eastAsia="Calibri" w:hAnsi="Calibri"/>
          <w:color w:val="1A1814"/>
          <w:sz w:val="22"/>
          <w:szCs w:val="22"/>
        </w:rPr>
        <w:t xml:space="preserve">All CTAs route correctly — /signup for Organizations, /signup/practitioner for Practitioners. No gated "talk to us" CTAs anywhere.</w:t>
      </w:r>
    </w:p>
    <w:p>
      <w:pPr>
        <w:pStyle w:val="ListParagraph"/>
        <w:numPr>
          <w:ilvl w:val="0"/>
          <w:numId w:val="2"/>
        </w:numPr>
        <w:spacing w:after="60" w:line="280"/>
      </w:pPr>
      <w:r>
        <w:rPr>
          <w:rFonts w:ascii="Calibri" w:cs="Calibri" w:eastAsia="Calibri" w:hAnsi="Calibri"/>
          <w:color w:val="1A1814"/>
          <w:sz w:val="22"/>
          <w:szCs w:val="22"/>
        </w:rPr>
        <w:t xml:space="preserve">Pricing tiles on both tabs pull live Stripe pricing via fetchPublicTierPricing.</w:t>
      </w:r>
    </w:p>
    <w:p>
      <w:pPr>
        <w:pStyle w:val="ListParagraph"/>
        <w:numPr>
          <w:ilvl w:val="0"/>
          <w:numId w:val="2"/>
        </w:numPr>
        <w:spacing w:after="60" w:line="280"/>
      </w:pPr>
      <w:r>
        <w:rPr>
          <w:rFonts w:ascii="Calibri" w:cs="Calibri" w:eastAsia="Calibri" w:hAnsi="Calibri"/>
          <w:color w:val="1A1814"/>
          <w:sz w:val="22"/>
          <w:szCs w:val="22"/>
        </w:rPr>
        <w:t xml:space="preserve">Playwright coverage: smoke tests that both new routes load, heroes render, and every CTA is clickable and routes correctly.</w:t>
      </w:r>
    </w:p>
    <w:p>
      <w:pPr>
        <w:pStyle w:val="ListParagraph"/>
        <w:numPr>
          <w:ilvl w:val="0"/>
          <w:numId w:val="2"/>
        </w:numPr>
        <w:spacing w:after="60" w:line="280"/>
      </w:pPr>
      <w:r>
        <w:rPr>
          <w:rFonts w:ascii="Calibri" w:cs="Calibri" w:eastAsia="Calibri" w:hAnsi="Calibri"/>
          <w:color w:val="1A1814"/>
          <w:sz w:val="22"/>
          <w:szCs w:val="22"/>
        </w:rPr>
        <w:t xml:space="preserve">Playwright coverage — tenant-subdomain gating: assert the Organizations and Practitioners nav entries are absent when loading a seeded tenant subdomain (for example independent-wealth-staging.akilirisk.com per the fixtures in tests/fixtures/users.ts), and that Families, Firms, and How It Works remain visible.</w:t>
      </w:r>
    </w:p>
    <w:p>
      <w:pPr>
        <w:pStyle w:val="Heading1"/>
        <w:spacing w:after="140" w:before="260"/>
      </w:pPr>
      <w:r>
        <w:rPr>
          <w:rFonts w:ascii="Calibri" w:cs="Calibri" w:eastAsia="Calibri" w:hAnsi="Calibri"/>
          <w:b/>
          <w:bCs/>
          <w:color w:val="1A1814"/>
          <w:sz w:val="30"/>
          <w:szCs w:val="30"/>
        </w:rPr>
        <w:t xml:space="preserve">10. Open Questions and TBDs</w:t>
      </w:r>
    </w:p>
    <w:p>
      <w:pPr>
        <w:pStyle w:val="Heading2"/>
        <w:spacing w:after="100" w:before="200"/>
      </w:pPr>
      <w:r>
        <w:rPr>
          <w:rFonts w:ascii="Calibri" w:cs="Calibri" w:eastAsia="Calibri" w:hAnsi="Calibri"/>
          <w:b/>
          <w:bCs/>
          <w:color w:val="1A1814"/>
          <w:sz w:val="26"/>
          <w:szCs w:val="26"/>
        </w:rPr>
        <w:t xml:space="preserve">Resolved</w:t>
      </w:r>
    </w:p>
    <w:p>
      <w:pPr>
        <w:pStyle w:val="ListParagraph"/>
        <w:numPr>
          <w:ilvl w:val="0"/>
          <w:numId w:val="2"/>
        </w:numPr>
        <w:spacing w:after="60" w:line="280"/>
      </w:pPr>
      <w:r>
        <w:rPr>
          <w:rFonts w:ascii="Calibri" w:cs="Calibri" w:eastAsia="Calibri" w:hAnsi="Calibri"/>
          <w:b/>
          <w:bCs/>
          <w:color w:val="1A1814"/>
          <w:sz w:val="22"/>
          <w:szCs w:val="22"/>
        </w:rPr>
        <w:t xml:space="preserve">Structure ✓ </w:t>
      </w:r>
      <w:r>
        <w:rPr>
          <w:rFonts w:ascii="Calibri" w:cs="Calibri" w:eastAsia="Calibri" w:hAnsi="Calibri"/>
          <w:color w:val="1A1814"/>
          <w:sz w:val="22"/>
          <w:szCs w:val="22"/>
        </w:rPr>
        <w:t xml:space="preserve">Two separate tabs — For Organizations and For Practitioners — rather than a single dual-audience tab.</w:t>
      </w:r>
    </w:p>
    <w:p>
      <w:pPr>
        <w:pStyle w:val="ListParagraph"/>
        <w:numPr>
          <w:ilvl w:val="0"/>
          <w:numId w:val="2"/>
        </w:numPr>
        <w:spacing w:after="60" w:line="280"/>
      </w:pPr>
      <w:r>
        <w:rPr>
          <w:rFonts w:ascii="Calibri" w:cs="Calibri" w:eastAsia="Calibri" w:hAnsi="Calibri"/>
          <w:b/>
          <w:bCs/>
          <w:color w:val="1A1814"/>
          <w:sz w:val="22"/>
          <w:szCs w:val="22"/>
        </w:rPr>
        <w:t xml:space="preserve">Pricing model ✓ </w:t>
      </w:r>
      <w:r>
        <w:rPr>
          <w:rFonts w:ascii="Calibri" w:cs="Calibri" w:eastAsia="Calibri" w:hAnsi="Calibri"/>
          <w:color w:val="1A1814"/>
          <w:sz w:val="22"/>
          <w:szCs w:val="22"/>
        </w:rPr>
        <w:t xml:space="preserve">Public, self-serve on both tabs. All tiers backed by SELF_SERVE_TIERS with real dollar amounts fetched from Stripe. No gating anywhere.</w:t>
      </w:r>
    </w:p>
    <w:p>
      <w:pPr>
        <w:pStyle w:val="ListParagraph"/>
        <w:numPr>
          <w:ilvl w:val="0"/>
          <w:numId w:val="2"/>
        </w:numPr>
        <w:spacing w:after="60" w:line="280"/>
      </w:pPr>
      <w:r>
        <w:rPr>
          <w:rFonts w:ascii="Calibri" w:cs="Calibri" w:eastAsia="Calibri" w:hAnsi="Calibri"/>
          <w:b/>
          <w:bCs/>
          <w:color w:val="1A1814"/>
          <w:sz w:val="22"/>
          <w:szCs w:val="22"/>
        </w:rPr>
        <w:t xml:space="preserve">CTA target ✓ </w:t>
      </w:r>
      <w:r>
        <w:rPr>
          <w:rFonts w:ascii="Calibri" w:cs="Calibri" w:eastAsia="Calibri" w:hAnsi="Calibri"/>
          <w:color w:val="1A1814"/>
          <w:sz w:val="22"/>
          <w:szCs w:val="22"/>
        </w:rPr>
        <w:t xml:space="preserve">Self-serve. Organizations → /signup; Practitioners → /signup/practitioner (routes into existing advisor signup flow).</w:t>
      </w:r>
    </w:p>
    <w:p>
      <w:pPr>
        <w:pStyle w:val="ListParagraph"/>
        <w:numPr>
          <w:ilvl w:val="0"/>
          <w:numId w:val="2"/>
        </w:numPr>
        <w:spacing w:after="60" w:line="280"/>
      </w:pPr>
      <w:r>
        <w:rPr>
          <w:rFonts w:ascii="Calibri" w:cs="Calibri" w:eastAsia="Calibri" w:hAnsi="Calibri"/>
          <w:b/>
          <w:bCs/>
          <w:color w:val="1A1814"/>
          <w:sz w:val="22"/>
          <w:szCs w:val="22"/>
        </w:rPr>
        <w:t xml:space="preserve">Case studies ✓ </w:t>
      </w:r>
      <w:r>
        <w:rPr>
          <w:rFonts w:ascii="Calibri" w:cs="Calibri" w:eastAsia="Calibri" w:hAnsi="Calibri"/>
          <w:color w:val="1A1814"/>
          <w:sz w:val="22"/>
          <w:szCs w:val="22"/>
        </w:rPr>
        <w:t xml:space="preserve">Ship labeled samples at launch (Riverbend Community Foundation on Organizations, Kessler Fractional Security on Practitioners). Replace with real case studies as live pilots consent.</w:t>
      </w:r>
    </w:p>
    <w:p>
      <w:pPr>
        <w:pStyle w:val="ListParagraph"/>
        <w:numPr>
          <w:ilvl w:val="0"/>
          <w:numId w:val="2"/>
        </w:numPr>
        <w:spacing w:after="60" w:line="280"/>
      </w:pPr>
      <w:r>
        <w:rPr>
          <w:rFonts w:ascii="Calibri" w:cs="Calibri" w:eastAsia="Calibri" w:hAnsi="Calibri"/>
          <w:b/>
          <w:bCs/>
          <w:color w:val="1A1814"/>
          <w:sz w:val="22"/>
          <w:szCs w:val="22"/>
        </w:rPr>
        <w:t xml:space="preserve">Scope ✓ </w:t>
      </w:r>
      <w:r>
        <w:rPr>
          <w:rFonts w:ascii="Calibri" w:cs="Calibri" w:eastAsia="Calibri" w:hAnsi="Calibri"/>
          <w:color w:val="1A1814"/>
          <w:sz w:val="22"/>
          <w:szCs w:val="22"/>
        </w:rPr>
        <w:t xml:space="preserve">Marketing-only. No product changes. Practitioner tab reuses the existing advisor-tenant model unchanged.</w:t>
      </w:r>
    </w:p>
    <w:p>
      <w:pPr>
        <w:pStyle w:val="ListParagraph"/>
        <w:numPr>
          <w:ilvl w:val="0"/>
          <w:numId w:val="2"/>
        </w:numPr>
        <w:spacing w:after="60" w:line="280"/>
      </w:pPr>
      <w:r>
        <w:rPr>
          <w:rFonts w:ascii="Calibri" w:cs="Calibri" w:eastAsia="Calibri" w:hAnsi="Calibri"/>
          <w:b/>
          <w:bCs/>
          <w:color w:val="1A1814"/>
          <w:sz w:val="22"/>
          <w:szCs w:val="22"/>
        </w:rPr>
        <w:t xml:space="preserve">Configuration services ✓ </w:t>
      </w:r>
      <w:r>
        <w:rPr>
          <w:rFonts w:ascii="Calibri" w:cs="Calibri" w:eastAsia="Calibri" w:hAnsi="Calibri"/>
          <w:color w:val="1A1814"/>
          <w:sz w:val="22"/>
          <w:szCs w:val="22"/>
        </w:rPr>
        <w:t xml:space="preserve">Configuration-as-a-Service on Organizations tab and white-label configuration on Practitioners tab, both as optional paid services beneath the pricing table — not gates.</w:t>
      </w:r>
    </w:p>
    <w:p>
      <w:pPr>
        <w:pStyle w:val="Heading2"/>
        <w:spacing w:after="100" w:before="200"/>
      </w:pPr>
      <w:r>
        <w:rPr>
          <w:rFonts w:ascii="Calibri" w:cs="Calibri" w:eastAsia="Calibri" w:hAnsi="Calibri"/>
          <w:b/>
          <w:bCs/>
          <w:color w:val="1A1814"/>
          <w:sz w:val="26"/>
          <w:szCs w:val="26"/>
        </w:rPr>
        <w:t xml:space="preserve">Remaining</w:t>
      </w:r>
    </w:p>
    <w:p>
      <w:pPr>
        <w:pStyle w:val="Heading3"/>
        <w:spacing w:after="80" w:before="160"/>
      </w:pPr>
      <w:r>
        <w:rPr>
          <w:rFonts w:ascii="Calibri" w:cs="Calibri" w:eastAsia="Calibri" w:hAnsi="Calibri"/>
          <w:b/>
          <w:bCs/>
          <w:i w:val="false"/>
          <w:iCs w:val="false"/>
          <w:color w:val="1A1814"/>
          <w:sz w:val="22"/>
          <w:szCs w:val="22"/>
        </w:rPr>
        <w:t xml:space="preserve">10.1 Tab names</w:t>
      </w:r>
    </w:p>
    <w:p>
      <w:pPr>
        <w:spacing w:after="120" w:line="280"/>
        <w:jc w:val="both"/>
      </w:pPr>
      <w:r>
        <w:rPr>
          <w:rFonts w:ascii="Calibri" w:cs="Calibri" w:eastAsia="Calibri" w:hAnsi="Calibri"/>
          <w:color w:val="1A1814"/>
          <w:sz w:val="22"/>
          <w:szCs w:val="22"/>
        </w:rPr>
        <w:t xml:space="preserve">Working names in this plan are "For Organizations" and "For Practitioners." Rationale below; alternates listed for user review.</w:t>
      </w:r>
    </w:p>
    <w:p>
      <w:pPr>
        <w:spacing w:after="100" w:line="280"/>
        <w:jc w:val="both"/>
      </w:pPr>
      <w:r>
        <w:rPr>
          <w:rFonts w:ascii="Calibri" w:cs="Calibri" w:eastAsia="Calibri" w:hAnsi="Calibri"/>
          <w:b/>
          <w:bCs/>
          <w:color w:val="1A1814"/>
          <w:sz w:val="22"/>
          <w:szCs w:val="22"/>
        </w:rPr>
        <w:t xml:space="preserve">For Organizations — </w:t>
      </w:r>
      <w:r>
        <w:rPr>
          <w:rFonts w:ascii="Calibri" w:cs="Calibri" w:eastAsia="Calibri" w:hAnsi="Calibri"/>
          <w:color w:val="1A1814"/>
          <w:sz w:val="22"/>
          <w:szCs w:val="22"/>
        </w:rPr>
        <w:t xml:space="preserve">inclusive umbrella that reads warmly for SMBs, non-profits, and NGOs alike, without leaning too commercial (would alienate nonprofits) or too mission-driven (would alienate SMBs). Alternates worth considering: "For Your Team," "For Operators," "Direct Assessment," "For Your Organization."</w:t>
      </w:r>
    </w:p>
    <w:p>
      <w:pPr>
        <w:spacing w:after="100" w:line="280"/>
        <w:jc w:val="both"/>
      </w:pPr>
      <w:r>
        <w:rPr>
          <w:rFonts w:ascii="Calibri" w:cs="Calibri" w:eastAsia="Calibri" w:hAnsi="Calibri"/>
          <w:b/>
          <w:bCs/>
          <w:color w:val="1A1814"/>
          <w:sz w:val="22"/>
          <w:szCs w:val="22"/>
        </w:rPr>
        <w:t xml:space="preserve">For Practitioners — </w:t>
      </w:r>
      <w:r>
        <w:rPr>
          <w:rFonts w:ascii="Calibri" w:cs="Calibri" w:eastAsia="Calibri" w:hAnsi="Calibri"/>
          <w:color w:val="1A1814"/>
          <w:sz w:val="22"/>
          <w:szCs w:val="22"/>
        </w:rPr>
        <w:t xml:space="preserve">broader than "Consultants" (which excludes fractional executives), clearer than "Advisors" (which conflicts with the existing wealth-advisor tab), respects the professional identity of the reader. Alternates: "For Consultants," "For Fractional Executives," "For Client Professionals," "For Independent Advisors."</w:t>
      </w:r>
    </w:p>
    <w:p>
      <w:pPr>
        <w:pStyle w:val="Heading3"/>
        <w:spacing w:after="80" w:before="160"/>
      </w:pPr>
      <w:r>
        <w:rPr>
          <w:rFonts w:ascii="Calibri" w:cs="Calibri" w:eastAsia="Calibri" w:hAnsi="Calibri"/>
          <w:b/>
          <w:bCs/>
          <w:i w:val="false"/>
          <w:iCs w:val="false"/>
          <w:color w:val="1A1814"/>
          <w:sz w:val="22"/>
          <w:szCs w:val="22"/>
        </w:rPr>
        <w:t xml:space="preserve">10.2 Nav density — five audience tabs</w:t>
      </w:r>
    </w:p>
    <w:p>
      <w:pPr>
        <w:spacing w:after="120" w:line="280"/>
        <w:jc w:val="both"/>
      </w:pPr>
      <w:r>
        <w:rPr>
          <w:rFonts w:ascii="Calibri" w:cs="Calibri" w:eastAsia="Calibri" w:hAnsi="Calibri"/>
          <w:color w:val="1A1814"/>
          <w:sz w:val="22"/>
          <w:szCs w:val="22"/>
        </w:rPr>
        <w:t xml:space="preserve">Adding two audience tabs takes the total from three to five, plus three primary links (Docs, Pricing, About). Desktop header may feel crowded; mobile menu will scroll. Two options: (a) keep all five audience tabs as siblings and accept the density; (b) group Organizations + Practitioners under a shared parent dropdown like "For You" or "More audiences." Recommendation is (a); decision belongs to design in the polish pass.</w:t>
      </w:r>
    </w:p>
    <w:p>
      <w:pPr>
        <w:spacing w:after="100" w:line="280"/>
        <w:jc w:val="both"/>
      </w:pPr>
      <w:r>
        <w:rPr>
          <w:rFonts w:ascii="Calibri" w:cs="Calibri" w:eastAsia="Calibri" w:hAnsi="Calibri"/>
          <w:b/>
          <w:bCs/>
          <w:color w:val="1A1814"/>
          <w:sz w:val="22"/>
          <w:szCs w:val="22"/>
        </w:rPr>
        <w:t xml:space="preserve">Not recommended: </w:t>
      </w:r>
      <w:r>
        <w:rPr>
          <w:rFonts w:ascii="Calibri" w:cs="Calibri" w:eastAsia="Calibri" w:hAnsi="Calibri"/>
          <w:color w:val="1A1814"/>
          <w:sz w:val="22"/>
          <w:szCs w:val="22"/>
        </w:rPr>
        <w:t xml:space="preserve">merging Families and Firms. They are the current revenue tabs and both need to keep their prominence.</w:t>
      </w:r>
    </w:p>
    <w:p>
      <w:pPr>
        <w:pStyle w:val="Heading3"/>
        <w:spacing w:after="80" w:before="160"/>
      </w:pPr>
      <w:r>
        <w:rPr>
          <w:rFonts w:ascii="Calibri" w:cs="Calibri" w:eastAsia="Calibri" w:hAnsi="Calibri"/>
          <w:b/>
          <w:bCs/>
          <w:i w:val="false"/>
          <w:iCs w:val="false"/>
          <w:color w:val="1A1814"/>
          <w:sz w:val="22"/>
          <w:szCs w:val="22"/>
        </w:rPr>
        <w:t xml:space="preserve">10.3 Exact price points</w:t>
      </w:r>
    </w:p>
    <w:p>
      <w:pPr>
        <w:spacing w:after="120" w:line="280"/>
        <w:jc w:val="both"/>
      </w:pPr>
      <w:r>
        <w:rPr>
          <w:rFonts w:ascii="Calibri" w:cs="Calibri" w:eastAsia="Calibri" w:hAnsi="Calibri"/>
          <w:color w:val="1A1814"/>
          <w:sz w:val="22"/>
          <w:szCs w:val="22"/>
        </w:rPr>
        <w:t xml:space="preserve">The tier structure is set for both tabs; the dollar amounts are not. Real prices need to be provisioned in Stripe before launch. Sub-question: should the Practitioner tier price the same as the wealth-advisor tier (shared Stripe products) or differently (new Stripe product set)? Either is a configuration change, not a code change.</w:t>
      </w:r>
    </w:p>
    <w:p>
      <w:pPr>
        <w:pStyle w:val="Heading3"/>
        <w:spacing w:after="80" w:before="160"/>
      </w:pPr>
      <w:r>
        <w:rPr>
          <w:rFonts w:ascii="Calibri" w:cs="Calibri" w:eastAsia="Calibri" w:hAnsi="Calibri"/>
          <w:b/>
          <w:bCs/>
          <w:i w:val="false"/>
          <w:iCs w:val="false"/>
          <w:color w:val="1A1814"/>
          <w:sz w:val="22"/>
          <w:szCs w:val="22"/>
        </w:rPr>
        <w:t xml:space="preserve">10.4 Nonprofit / NGO discount level</w:t>
      </w:r>
    </w:p>
    <w:p>
      <w:pPr>
        <w:spacing w:after="120" w:line="280"/>
        <w:jc w:val="both"/>
      </w:pPr>
      <w:r>
        <w:rPr>
          <w:rFonts w:ascii="Calibri" w:cs="Calibri" w:eastAsia="Calibri" w:hAnsi="Calibri"/>
          <w:color w:val="1A1814"/>
          <w:sz w:val="22"/>
          <w:szCs w:val="22"/>
        </w:rPr>
        <w:t xml:space="preserve">Recommendation: 30–50% off the corresponding for-profit tier for verified 501(c)(3) organizations, verified self-serve at signup. Exact percentage needs a decision. Does the same discount apply to a nonprofit that becomes a Practitioner (nonprofit-hosted risk services)? Recommendation: yes.</w:t>
      </w:r>
    </w:p>
    <w:p>
      <w:pPr>
        <w:pStyle w:val="Heading3"/>
        <w:spacing w:after="80" w:before="160"/>
      </w:pPr>
      <w:r>
        <w:rPr>
          <w:rFonts w:ascii="Calibri" w:cs="Calibri" w:eastAsia="Calibri" w:hAnsi="Calibri"/>
          <w:b/>
          <w:bCs/>
          <w:i w:val="false"/>
          <w:iCs w:val="false"/>
          <w:color w:val="1A1814"/>
          <w:sz w:val="22"/>
          <w:szCs w:val="22"/>
        </w:rPr>
        <w:t xml:space="preserve">10.5 Prominence of configuration services</w:t>
      </w:r>
    </w:p>
    <w:p>
      <w:pPr>
        <w:spacing w:after="120" w:line="280"/>
        <w:jc w:val="both"/>
      </w:pPr>
      <w:r>
        <w:rPr>
          <w:rFonts w:ascii="Calibri" w:cs="Calibri" w:eastAsia="Calibri" w:hAnsi="Calibri"/>
          <w:color w:val="1A1814"/>
          <w:sz w:val="22"/>
          <w:szCs w:val="22"/>
        </w:rPr>
        <w:t xml:space="preserve">This plan places both configuration services (Configuration-as-a-Service on Organizations, white-label configuration on Practitioners) as short sections beneath the pricing tables — visible but not dominant. If go-to-market believes these services are meaningful revenue lines rather than supporting offerings, they may deserve their own sections higher on each tab. Trade-off: prominence versus the risk of implying the self-serve product needs services to succeed.</w:t>
      </w:r>
    </w:p>
    <w:p>
      <w:pPr>
        <w:pStyle w:val="Heading3"/>
        <w:spacing w:after="80" w:before="160"/>
      </w:pPr>
      <w:r>
        <w:rPr>
          <w:rFonts w:ascii="Calibri" w:cs="Calibri" w:eastAsia="Calibri" w:hAnsi="Calibri"/>
          <w:b/>
          <w:bCs/>
          <w:i w:val="false"/>
          <w:iCs w:val="false"/>
          <w:color w:val="1A1814"/>
          <w:sz w:val="22"/>
          <w:szCs w:val="22"/>
        </w:rPr>
        <w:t xml:space="preserve">10.6 Nonprofit-specific compliance content</w:t>
      </w:r>
    </w:p>
    <w:p>
      <w:pPr>
        <w:spacing w:after="120" w:line="280"/>
        <w:jc w:val="both"/>
      </w:pPr>
      <w:r>
        <w:rPr>
          <w:rFonts w:ascii="Calibri" w:cs="Calibri" w:eastAsia="Calibri" w:hAnsi="Calibri"/>
          <w:color w:val="1A1814"/>
          <w:sz w:val="22"/>
          <w:szCs w:val="22"/>
        </w:rPr>
        <w:t xml:space="preserve">Should the Organizations tab explicitly call out 990, state charity registration, common grant risk questionnaires, and named funder due-diligence patterns (USAID, foundation-style)? Or keep the framing generic and let the underlying assessment surface those obligations? Argument for explicit: SEO and specificity land better with nonprofits actively searching. Argument against: risk of the page reading as US-nonprofit-only when NGOs operating internationally are also in scope.</w:t>
      </w:r>
    </w:p>
    <w:p>
      <w:pPr>
        <w:pStyle w:val="Heading3"/>
        <w:spacing w:after="80" w:before="160"/>
      </w:pPr>
      <w:r>
        <w:rPr>
          <w:rFonts w:ascii="Calibri" w:cs="Calibri" w:eastAsia="Calibri" w:hAnsi="Calibri"/>
          <w:b/>
          <w:bCs/>
          <w:i w:val="false"/>
          <w:iCs w:val="false"/>
          <w:color w:val="1A1814"/>
          <w:sz w:val="22"/>
          <w:szCs w:val="22"/>
        </w:rPr>
        <w:t xml:space="preserve">10.7 Named customers for real case studies</w:t>
      </w:r>
    </w:p>
    <w:p>
      <w:pPr>
        <w:spacing w:after="120" w:line="280"/>
        <w:jc w:val="both"/>
      </w:pPr>
      <w:r>
        <w:rPr>
          <w:rFonts w:ascii="Calibri" w:cs="Calibri" w:eastAsia="Calibri" w:hAnsi="Calibri"/>
          <w:color w:val="1A1814"/>
          <w:sz w:val="22"/>
          <w:szCs w:val="22"/>
        </w:rPr>
        <w:t xml:space="preserve">The samples ship at launch. Which live pilot deployments — on either tab — are willing to become named case studies within the first sixty days? One named organization case study and one named practitioner case study would meaningfully increase the credibility of both tabs.</w:t>
      </w:r>
    </w:p>
    <w:p>
      <w:pPr>
        <w:pStyle w:val="Heading1"/>
        <w:spacing w:after="140" w:before="260"/>
      </w:pPr>
      <w:r>
        <w:rPr>
          <w:rFonts w:ascii="Calibri" w:cs="Calibri" w:eastAsia="Calibri" w:hAnsi="Calibri"/>
          <w:b/>
          <w:bCs/>
          <w:color w:val="1A1814"/>
          <w:sz w:val="30"/>
          <w:szCs w:val="30"/>
        </w:rPr>
        <w:t xml:space="preserve">11. Summary</w:t>
      </w:r>
    </w:p>
    <w:p>
      <w:pPr>
        <w:spacing w:after="120" w:line="280"/>
        <w:jc w:val="both"/>
      </w:pPr>
      <w:r>
        <w:rPr>
          <w:rFonts w:ascii="Calibri" w:cs="Calibri" w:eastAsia="Calibri" w:hAnsi="Calibri"/>
          <w:color w:val="1A1814"/>
          <w:sz w:val="22"/>
          <w:szCs w:val="22"/>
        </w:rPr>
        <w:t xml:space="preserve">Two new marketing tabs — For Organizations and For Practitioners — complete Akili's audience coverage. Organizations serve themselves; practitioners serve their clients. Both reuse the same platform, the same methodology, and the same infrastructure. No product changes, no backend changes, no new Stripe products required for launch. Estimated engineering effort: two to three days for both tabs together.</w:t>
      </w:r>
    </w:p>
    <w:p>
      <w:pPr>
        <w:spacing w:after="120" w:line="280"/>
        <w:jc w:val="both"/>
      </w:pPr>
      <w:r>
        <w:rPr>
          <w:rFonts w:ascii="Calibri" w:cs="Calibri" w:eastAsia="Calibri" w:hAnsi="Calibri"/>
          <w:color w:val="1A1814"/>
          <w:sz w:val="22"/>
          <w:szCs w:val="22"/>
        </w:rPr>
        <w:t xml:space="preserve">The remaining open questions in §10 are naming, nav density, pricing details, and content specificity — not blockers. Once tab names are confirmed and dollar amounts are provisioned in Stripe, engineering can land both tabs in a single sprint.</w:t>
      </w:r>
    </w:p>
    <w:p>
      <w:pPr>
        <w:spacing w:after="100" w:before="300" w:line="280"/>
        <w:jc w:val="center"/>
      </w:pPr>
      <w:r>
        <w:rPr>
          <w:rFonts w:ascii="Calibri" w:cs="Calibri" w:eastAsia="Calibri" w:hAnsi="Calibri"/>
          <w:i/>
          <w:iCs/>
          <w:color w:val="8C6A2F"/>
          <w:sz w:val="22"/>
          <w:szCs w:val="22"/>
        </w:rPr>
        <w:t xml:space="preserve">— end —</w:t>
      </w:r>
    </w:p>
    <w:sectPr>
      <w:headerReference w:type="default" r:id="rId7"/>
      <w:footerReference w:type="default" r:id="rId8"/>
      <w:pgSz w:w="12240" w:h="15840" w:orient="portrait"/>
      <w:pgMar w:top="1224" w:right="1296" w:bottom="1224" w:left="1296"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BFA8" w:sz="4" w:space="4"/>
      </w:pBdr>
      <w:spacing w:before="60"/>
      <w:jc w:val="center"/>
    </w:pPr>
    <w:r>
      <w:rPr>
        <w:rFonts w:ascii="Calibri" w:cs="Calibri" w:eastAsia="Calibri" w:hAnsi="Calibri"/>
        <w:color w:val="1A1814"/>
        <w:sz w:val="16"/>
        <w:szCs w:val="16"/>
      </w:rPr>
      <w:t xml:space="preserve">Akili Risk  ·  New Audience Tabs Plan  ·  July 2026  ·  Page </w:t>
    </w:r>
    <w:r>
      <w:rPr>
        <w:rFonts w:ascii="Calibri" w:cs="Calibri" w:eastAsia="Calibri" w:hAnsi="Calibri"/>
        <w:color w:val="1A1814"/>
        <w:sz w:val="16"/>
        <w:szCs w:val="16"/>
      </w:rPr>
      <w:fldChar w:fldCharType="begin"/>
      <w:instrText xml:space="preserve">PAGE</w:instrText>
      <w:fldChar w:fldCharType="separate"/>
      <w:fldChar w:fldCharType="end"/>
    </w:r>
    <w:r>
      <w:rPr>
        <w:rFonts w:ascii="Calibri" w:cs="Calibri" w:eastAsia="Calibri" w:hAnsi="Calibri"/>
        <w:color w:val="1A1814"/>
        <w:sz w:val="16"/>
        <w:szCs w:val="16"/>
      </w:rPr>
      <w:t xml:space="preserve"> of </w:t>
    </w:r>
    <w:r>
      <w:rPr>
        <w:rFonts w:ascii="Calibri" w:cs="Calibri" w:eastAsia="Calibri" w:hAnsi="Calibri"/>
        <w:color w:val="1A181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8" w:sz="4" w:space="4"/>
      </w:pBdr>
      <w:spacing w:after="60"/>
      <w:jc w:val="left"/>
    </w:pPr>
    <w:r>
      <w:rPr>
        <w:rFonts w:ascii="Calibri" w:cs="Calibri" w:eastAsia="Calibri" w:hAnsi="Calibri"/>
        <w:b/>
        <w:bCs/>
        <w:color w:val="1A1814"/>
        <w:sz w:val="18"/>
        <w:szCs w:val="18"/>
      </w:rPr>
      <w:t xml:space="preserve">AKILI RISK  </w:t>
    </w:r>
    <w:r>
      <w:rPr>
        <w:rFonts w:ascii="Calibri" w:cs="Calibri" w:eastAsia="Calibri" w:hAnsi="Calibri"/>
        <w:color w:val="1A1814"/>
        <w:sz w:val="18"/>
        <w:szCs w:val="18"/>
      </w:rPr>
      <w:t xml:space="preserve">New Audience Tabs — Marketing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8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60"/>
    </w:pPr>
    <w:rPr>
      <w:rFonts w:ascii="Calibri" w:cs="Calibri" w:eastAsia="Calibri" w:hAnsi="Calibri"/>
      <w:b/>
      <w:bCs/>
      <w:color w:val="1A1814"/>
      <w:sz w:val="30"/>
      <w:szCs w:val="30"/>
    </w:rPr>
  </w:style>
  <w:style w:type="paragraph" w:styleId="Heading2">
    <w:name w:val="Heading 2"/>
    <w:basedOn w:val="Normal"/>
    <w:next w:val="Normal"/>
    <w:qFormat/>
    <w:pPr>
      <w:spacing w:after="100" w:before="200"/>
    </w:pPr>
    <w:rPr>
      <w:rFonts w:ascii="Calibri" w:cs="Calibri" w:eastAsia="Calibri" w:hAnsi="Calibri"/>
      <w:b/>
      <w:bCs/>
      <w:color w:val="1A1814"/>
      <w:sz w:val="26"/>
      <w:szCs w:val="26"/>
    </w:rPr>
  </w:style>
  <w:style w:type="paragraph" w:styleId="Heading3">
    <w:name w:val="Heading 3"/>
    <w:basedOn w:val="Normal"/>
    <w:next w:val="Normal"/>
    <w:qFormat/>
    <w:pPr>
      <w:spacing w:after="80" w:before="160"/>
    </w:pPr>
    <w:rPr>
      <w:rFonts w:ascii="Calibri" w:cs="Calibri" w:eastAsia="Calibri" w:hAnsi="Calibri"/>
      <w:b/>
      <w:bCs/>
      <w:color w:val="1A181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Akili Risk — New Audience Tabs Plan</dc:title>
  <dc:creator>Akili Risk</dc:creator>
  <dc:description>Plan for adding For Organizations and For Practitioners audience tabs to the Akili Risk marketing site.</dc:description>
  <cp:lastModifiedBy>Un-named</cp:lastModifiedBy>
  <cp:revision>1</cp:revision>
  <dcterms:created xsi:type="dcterms:W3CDTF">2026-07-26T19:20:24.859Z</dcterms:created>
  <dcterms:modified xsi:type="dcterms:W3CDTF">2026-07-26T19:20:24.859Z</dcterms:modified>
</cp:coreProperties>
</file>

<file path=docProps/custom.xml><?xml version="1.0" encoding="utf-8"?>
<Properties xmlns="http://schemas.openxmlformats.org/officeDocument/2006/custom-properties" xmlns:vt="http://schemas.openxmlformats.org/officeDocument/2006/docPropsVTypes"/>
</file>