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Family Access Controls Policy

Assessment Date: {assessmentDate}
Overall Governance Score: {overallScore}/10 ({riskLevel} risk)
Category Score: {categoryScore}/10 ({categoryRiskLevel} risk)

INFORMATION SECURITY & ACCESS MANAGEMENT

This policy defines asset access tiers and approval workflows for the {familyName} family.

IDENTIFIED GAPS TO ADDRESS:
{#gaps}• {description} - {severity} Priority
  Recommendation: {recommendation}

{/gaps}

STRENGTHS TO MAINTAIN:
{#strengths}• {.}
{/strengths}

RECOMMENDATIONS FOR IMPLEMENTATION:
{#recommendations}• {.}
{/recommendations}

ACCESS CONTROL FRAMEWORK:
1. Asset access tier definitions and restrictions
2. Approval workflow requirements by asset type
3. Information sharing protocols and confidentiality
4. Digital access management and security measures</w:t>
      </w:r>
    </w:p>
  </w:body>
</w:document>
</file>