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{familyName} Family Behavior Standards Policy
Assessment Date: {assessmentDate}
Overall Governance Score: {overallScore}/10 ({riskLevel} risk)
Category Score: {categoryScore}/10 ({categoryRiskLevel} risk)
FAMILY CODE OF CONDUCT
This policy defines behavior expectations and public representation standards for the {familyName} family.
IDENTIFIED GAPS TO ADDRESS:
{#gaps}• {description} - {severity} Priority
  Recommendation: {recommendation}
{/gaps}
STRENGTHS TO MAINTAIN:
{#strengths}• {.}
{/strengths}
RECOMMENDATIONS FOR IMPLEMENTATION:
{#recommendations}• {.}
{/recommendations}
BEHAVIOR STANDARDS FRAMEWORK:
1. Family code of conduct and core values
2. Social media guidelines and digital presence
3. Public representation and media interaction rules
4. Consequence framework for policy violations</w:t>
      </w:r>
    </w:p>
  </w:body>
</w:document>
</file>