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
      <w:r>
        <w:t xml:space="preserve">{familyName} Family Decision-Making Authority Policy

Assessment Date: {assessmentDate}
Overall Governance Score: {overallScore}/10 ({riskLevel} risk)
Category Score: {categoryScore}/10 ({categoryRiskLevel} risk)

GOVERNANCE STRUCTURE & DECISION-MAKING

This policy establishes clear decision-making authority and voting procedures for the {familyName} family governance structure.

IDENTIFIED GAPS TO ADDRESS:
{#gaps}• {description} - {severity} Priority
  Recommendation: {recommendation}

{/gaps}

STRENGTHS TO MAINTAIN:
{#strengths}• {.}
{/strengths}

RECOMMENDATIONS FOR IMPLEMENTATION:
{#recommendations}• {.}
{/recommendations}

DECISION-MAKING FRAMEWORK:
1. Family council voting rights and quorum requirements
2. Conflict resolution procedures and escalation paths
3. Authority levels for different decision types
4. Meeting protocols and documentation standards</w:t>
      </w:r>
    </w:p>
  </w:body>
</w:document>
</file>