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{familyName} Family Business Governance Policy
Assessment Date: {assessmentDate}
Overall Governance Score: {overallScore}/10 ({riskLevel} risk)
Category Score: {categoryScore}/10 ({categoryRiskLevel} risk)
FAMILY BUSINESS GOVERNANCE STRUCTURE
This policy establishes governance framework for family business operations and oversight.
IDENTIFIED GAPS TO ADDRESS:
{#gaps}• {description} - {severity} Priority
  Recommendation: {recommendation}
{/gaps}
STRENGTHS TO MAINTAIN:
{#strengths}• {.}
{/strengths}
RECOMMENDATIONS FOR IMPLEMENTATION:
{#recommendations}• {.}
{/recommendations}
BUSINESS GOVERNANCE FRAMEWORK:
1. Board structure and family/independent director balance
2. Family employment policies and merit requirements
3. Compensation transparency and fairness principles
4. Conflict of interest policies and disclosure requirements</w:t>
      </w:r>
    </w:p>
  </w:body>
</w:document>
</file>