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and household recurring-payment application now claims the monthly log and writes the transaction plus optional Larder credit in one atomic transaction; concurrent losers are no-ops and failures roll back all writes.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