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goal-contribution deletion now requires contributor ownership or current household membership, and deletion plus goal-state/activity recalculation is atomic.</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and household recurring-payment application now claims the monthly log and writes the transaction plus optional Larder credit in one atomic transaction; concurrent losers are no-ops and failures roll back all writes.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currency conversion now validates rates before any writes and updates all related transaction, category, recurring-payment, user, and household budget records inside one atomic transaction. Conversion retries are idempotent after commit, and failed transactions roll back together.</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save-from-goal now locks the goal and validates the remaining contributor balance inside one transaction, then writes the negative goal contribution and positive Larder credit atomically. Failed writes roll back together, competing saves serialize safely, and regression tests cover failure, concurrency, and conservation.</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