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the mutation rejection, keep the sheet open, and show an actionable error; test permission, network, and stale-session failures.</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network and parsing failures, set the split modal error, and verify the loading flag releases for HTTP, offline, and rejected-fetch paths.</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deletion failures, preserve the confirmation state, and test server rejection, offline, and successful cache-clearing paths.</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catch/error feedback and close or preserve the prompt deliberately; test rule lookup failure, update failure, and successful disable behavior.</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all invite actions in catch/finally, restore a retryable state, and surface an actionable error; await/catch auto-accept from the effect and test network, CSRF, HTTP, invalidation, accept, and decline failures.</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abortable upload request and clear the timeout; distinguish cancellation from a real failure and test stalled upload, retry, late server completion, and successful upload.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the proposal mutations through the shared CSRF-aware helper, remove the duplicate wrapper, and add success, 403, network-failure, and loading-state tests.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and create the category in one transaction with a row lock or conditional status update; roll back on failure and add concurrent-accept and mid-write failure tests.</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Remount the child tree or provide a full-page reload fallback when retrying, while preserving a safe error message; test deterministic render failure and successful recovery.</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Only complete onboarding after the server update succeeds; on failure keep the step open, show retryable feedback, and preserve entered values. Add API-failure, retry, and successful-completion tests.</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Pass the mapped currencySymbol(prefs.currency) value to Live Activity and add native payload assertions for USD, EUR, GBP, and PLN.</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Resolve the CSRF URL from the service-worker registration scope or persist a base-aware URL with each queued operation; cover background-sync replay under a subpath, including token success and 403 retry.</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Catch refresh failures inside the gesture handler or make the refresh callback non-rejecting, show retryable feedback, and retain the existing finally reset; test a failed active-query refetch through both touchend and touchcancel.</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ownership-scoped UPDATE with a checked returned row, return 404 or 409 when no row is updated, and add a concurrent-delete regression test for the PATCH flow.</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Await the delete with explicit success/error handling, restore the alarm on failure, and show retryable feedback; cover rejected DELETE, non-OK response, and successful deletion.</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permission and alarm creation in explicit error handling, keep the panel usable, and show retryable feedback; cover permission rejection, non-OK POST, network failure, and successful add.</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try/finally to guarantee preview-state cleanup, catch media/haptic failures, and keep the preview action retryable; test vibration throw, audio load failure, and successful preview.</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discard failures, keep the failed operation visible when deletion did not commit, and show retryable feedback; test IndexedDB transaction failure and successful discard.</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Perform the category update and total-budget floor reconciliation in one transaction, or make reconciliation retryable and expose failure clearly; add failure-injection tests for the update and user-budget write.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Clear the busy state and surface an actionable error in the visibility mutation's error/settled path; keep the dialog retryable and test permission, network, and successful visibility changes.</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per-action pending/error handling with catch/finally, preserve the proposal on failure, and allow retry; cover approval/decline failures for both share and edit proposals.</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atomically with a transaction/row lock or a partial unique index plus controlled conflict handling; add concurrent proposal regression tests.</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Replace the cancel-and-insert sequence with one transaction, preserving the prior proposal until the replacement is safely created; add mid-write failure and retry tests.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