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Design one shared timeout/cancellation policy for interactive requests and queue replay, preserving upload-specific limits; test network hangs, retries, and loading-state release.</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Perform the balance validation and both ledger inserts in one database transaction with concurrency-safe locking/conditional checks; test mid-transaction failure and simultaneous sends.</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Require an ownership or explicit household-authorization predicate in the delete query, and perform deletion plus goal-state/activity recalculation in one authorized transaction; add cross-user and household authorization tests.</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Claim the pending proposal and create the category in one transaction with a row lock or conditional status update; roll back on failure and add concurrent-accept and mid-write failure tests.</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transaction creation, unique monthly-log claim, and optional Larder credit in one transaction; treat a lost log claim as a no-op with rollback, and add concurrent-apply and mid-write failure tests.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Only complete onboarding after the server update succeeds; on failure keep the step open, show retryable feedback, and preserve entered values. Add API-failure, retry, and successful-completion tests.</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Catch refresh failures inside the gesture handler or make the refresh callback non-rejecting, show retryable feedback, and retain the existing finally reset; test a failed active-query refetch through both touchend and touchcancel.</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Claim the pending proposal atomically with a transaction/row lock or a partial unique index plus controlled conflict handling; add concurrent proposal regression tests.</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Replace the cancel-and-insert sequence with one transaction, preserving the prior proposal until the replacement is safely created; add mid-write failure and retry tests.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Delete the recurring-payment definition and its logs atomically in a transaction, preserve existing applied transactions, and add failure-injection plus delete-then-reload/reapply regression tests for personal and household payments.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Consume the reset token with an atomic conditional UPDATE/transaction that requires the still-present token and expiry, return success only when one request claims it, and add concurrent reset-link tests.</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Require an idempotency key or deterministic source-event fingerprint for Apple webhook writes, claim it atomically before insertion, and add retry/lost-response tests that prove one purchase creates one transaction.</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When transactionId is provided, require ownership by the caller (or an explicitly permitted household rule), reject missing/deleted/foreign transactions, and add cross-user and household authorization tests.</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Add a database unique constraint on (user_id, activity_id) and use an atomic upsert for registration; add concurrent registration and duplicate-push regression tests.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Require the category to belong to the session user before recording a merchant rule, scope enrichRule's category query by userId, and add cross-user category privacy tests.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Great Larder fund/spend transaction and ledger writes atomic, validate category ownership, and claim the selected bucket/currency balance under a transaction/row lock or equivalent conditional update; add failure and concurrent-spend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pending</w:t>
            </w:r>
          </w:p>
        </w:tc>
        <w:tc>
          <w:tcPr>
            <w:tcW w:w="850" w:type="dxa"/>
            <w:vAlign w:val="top"/>
          </w:tcPr>
          <w:p>
            <w:r>
              <w:t xml:space="preserve">3</w:t>
            </w:r>
          </w:p>
        </w:tc>
        <w:tc>
          <w:tcPr>
            <w:tcW w:w="2100" w:type="dxa"/>
            <w:vAlign w:val="top"/>
          </w:tcPr>
          <w:p>
            <w:r>
              <w:t xml:space="preserve">Apply the same personal-versus-household goal authorization rule used by POST /goal-contributions before any Larder mutation, and add cross-user personal-goal and same-household goal tests.</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