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Consume the reset token with an atomic conditional UPDATE/transaction that requires the still-present token and expiry, return success only when one request claims it, and add concurrent reset-link tests.</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an idempotency key or deterministic source-event fingerprint for Apple webhook writes, claim it atomically before insertion, and add retry/lost-response tests that prove one purchase creates one transaction.</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When transactionId is provided, require ownership by the caller (or an explicitly permitted household rule), reject missing/deleted/foreign transactions, and add cross-user and household authorization tests.</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a database unique constraint on (user_id, activity_id) and use an atomic upsert for registration; add concurrent registration and duplicate-push regression tests.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the category to belong to the session user before recording a merchant rule, scope enrichRule's category query by userId, and add cross-user category privacy tests.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Apply the same personal-versus-household goal authorization rule used by POST /goal-contributions before any Larder mutation, and add cross-user personal-goal and same-household goal tests.</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