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Budger — Dokumentacja Techniczna Przekazania Projektu</w:t>
      </w:r>
    </w:p>
    <w:p>
      <w:pPr>
        <w:pStyle w:val="Subtitle"/>
      </w:pPr>
      <w:r>
        <w:t xml:space="preserve">Przygotowano dla zespołu programistycznego przejmującego rozwój aplikacji</w:t>
      </w:r>
    </w:p>
    <w:p>
      <w:pPr>
        <w:pStyle w:val="Date"/>
      </w:pPr>
      <w:r>
        <w:t xml:space="preserve">11 lipca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Spis Treści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el-dokumentu"/>
    <w:p>
      <w:pPr>
        <w:pStyle w:val="Heading1"/>
      </w:pPr>
      <w:r>
        <w:t xml:space="preserve">1. Cel dokumentu</w:t>
      </w:r>
    </w:p>
    <w:p>
      <w:pPr>
        <w:pStyle w:val="FirstParagraph"/>
      </w:pPr>
      <w:r>
        <w:t xml:space="preserve">Niniejszy dokument stanowi techniczną specyfikację przekazania projektu (handoff) dla zespołu inżynierskiego przejmującego własność i dalszy rozwój aplikacji</w:t>
      </w:r>
      <w:r>
        <w:t xml:space="preserve"> </w:t>
      </w:r>
      <w:r>
        <w:rPr>
          <w:b/>
          <w:bCs/>
        </w:rPr>
        <w:t xml:space="preserve">Budger</w:t>
      </w:r>
      <w:r>
        <w:t xml:space="preserve"> </w:t>
      </w:r>
      <w:r>
        <w:t xml:space="preserve">— wieloużytkownikowej aplikacji do zarządzania finansami osobistymi i domowymi. Dokument jest przeznaczony dla inżynierów oprogramowania i zakłada znajomość TypeScript, relacyjnych baz danych oraz nowoczesnej architektury aplikacji webowych. Obejmuje strukturę repozytorium, dokładne wersje zależności, architekturę backendu i frontendu, schemat bazy danych, szczegóły implementacyjne poszczególnych funkcjonalności, poziom zabezpieczeń, pokrycie testami, konfigurację wdrożeniową oraz znany dług techniczny.</w:t>
      </w:r>
    </w:p>
    <w:p>
      <w:pPr>
        <w:pStyle w:val="BodyText"/>
      </w:pPr>
      <w:r>
        <w:t xml:space="preserve">Żaden z poniższych szczegółów implementacyjnych nie jest planem na przyszłość — wszystko opisane odzwierciedla aktualny, wdrożony stan kodu na dzień wskazany powyżej.</w:t>
      </w:r>
    </w:p>
    <w:bookmarkEnd w:id="20"/>
    <w:bookmarkStart w:id="21" w:name="struktura-repozytorium"/>
    <w:p>
      <w:pPr>
        <w:pStyle w:val="Heading1"/>
      </w:pPr>
      <w:r>
        <w:t xml:space="preserve">2. Struktura repozytorium</w:t>
      </w:r>
    </w:p>
    <w:p>
      <w:pPr>
        <w:pStyle w:val="FirstParagraph"/>
      </w:pPr>
      <w:r>
        <w:t xml:space="preserve">Budger jest</w:t>
      </w:r>
      <w:r>
        <w:t xml:space="preserve"> </w:t>
      </w:r>
      <w:r>
        <w:rPr>
          <w:b/>
          <w:bCs/>
        </w:rPr>
        <w:t xml:space="preserve">monorepo opartym na pnpm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pnpm-workspace.yaml</w:t>
      </w:r>
      <w:r>
        <w:t xml:space="preserve">), złożonym z niezależnie wdrażanych „artefaktów” (artifacts) oraz współdzielonych pakietów wewnętrznych konsumowanych poprzez referencje</w:t>
      </w:r>
      <w:r>
        <w:t xml:space="preserve"> </w:t>
      </w:r>
      <w:r>
        <w:rPr>
          <w:rStyle w:val="VerbatimChar"/>
        </w:rPr>
        <w:t xml:space="preserve">workspace:*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│   ├── api-server/        Backend Express (REST API)</w:t>
      </w:r>
      <w:r>
        <w:br/>
      </w:r>
      <w:r>
        <w:rPr>
          <w:rStyle w:val="VerbatimChar"/>
        </w:rPr>
        <w:t xml:space="preserve">│   ├── finance-app/       Aplikacja SPA React/Vite (główny klient użytkownika)</w:t>
      </w:r>
      <w:r>
        <w:br/>
      </w:r>
      <w:r>
        <w:rPr>
          <w:rStyle w:val="VerbatimChar"/>
        </w:rPr>
        <w:t xml:space="preserve">│   └── mockup-sandbox/    Izolowane środowisko podglądu komponentów (wyłącznie narzędzie deweloperskie)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db/                Schemat Drizzle ORM, migracje, klient DB (@workspace/db)</w:t>
      </w:r>
      <w:r>
        <w:br/>
      </w:r>
      <w:r>
        <w:rPr>
          <w:rStyle w:val="VerbatimChar"/>
        </w:rPr>
        <w:t xml:space="preserve">│   ├── api-zod/           Współdzielone schematy walidacji Zod dla żądań/odpowiedzi (@workspace/api-zod)</w:t>
      </w:r>
      <w:r>
        <w:br/>
      </w:r>
      <w:r>
        <w:rPr>
          <w:rStyle w:val="VerbatimChar"/>
        </w:rPr>
        <w:t xml:space="preserve">│   ├── api-client-react/  Wygenerowane hooki TanStack Query + typy z OpenAPI (@workspace/api-client-react)</w:t>
      </w:r>
      <w:r>
        <w:br/>
      </w:r>
      <w:r>
        <w:rPr>
          <w:rStyle w:val="VerbatimChar"/>
        </w:rPr>
        <w:t xml:space="preserve">│   └── api-spec/          Źródłowa specyfikacja OpenAPI używana do generowania klienta</w:t>
      </w:r>
      <w:r>
        <w:br/>
      </w:r>
      <w:r>
        <w:rPr>
          <w:rStyle w:val="VerbatimChar"/>
        </w:rPr>
        <w:t xml:space="preserve">├── package.json           Root workspace: nadpisania (overrides) pnpm, wersje zależności katalogowych</w:t>
      </w:r>
      <w:r>
        <w:br/>
      </w:r>
      <w:r>
        <w:rPr>
          <w:rStyle w:val="VerbatimChar"/>
        </w:rPr>
        <w:t xml:space="preserve">└── pnpm-workspace.yaml     Wzorce pakietów workspace, katalog zależności, polityka minimumReleaseAge</w:t>
      </w:r>
    </w:p>
    <w:p>
      <w:pPr>
        <w:pStyle w:val="FirstParagraph"/>
      </w:pPr>
      <w:r>
        <w:t xml:space="preserve">Każdy artefakt posiada własny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oraz odpowiadający wpis pod</w:t>
      </w:r>
      <w:r>
        <w:t xml:space="preserve"> </w:t>
      </w:r>
      <w:r>
        <w:rPr>
          <w:rStyle w:val="VerbatimChar"/>
        </w:rPr>
        <w:t xml:space="preserve">artifacts/&lt;name&gt;/.replit-artifact/artifact.toml</w:t>
      </w:r>
      <w:r>
        <w:t xml:space="preserve">, który definiuje komendę uruchomieniową, powiązanie z portem oraz ścieżkę podglądu. Każdy artefakt jest powiązany z dedykowanym workflow zarządzanym przez Replit, który go uruchamia i udostępnia na przypisanym porcie (</w:t>
      </w:r>
      <w:r>
        <w:rPr>
          <w:rStyle w:val="VerbatimChar"/>
        </w:rPr>
        <w:t xml:space="preserve">PORT</w:t>
      </w:r>
      <w:r>
        <w:t xml:space="preserve">).</w:t>
      </w:r>
    </w:p>
    <w:p>
      <w:pPr>
        <w:pStyle w:val="BodyText"/>
      </w:pPr>
      <w:r>
        <w:t xml:space="preserve">Referencje projektów TypeScript łączą pakiety</w:t>
      </w:r>
      <w:r>
        <w:t xml:space="preserve"> </w:t>
      </w:r>
      <w:r>
        <w:rPr>
          <w:rStyle w:val="VerbatimChar"/>
        </w:rPr>
        <w:t xml:space="preserve">lib/*</w:t>
      </w:r>
      <w:r>
        <w:t xml:space="preserve"> </w:t>
      </w:r>
      <w:r>
        <w:t xml:space="preserve">zarówno z</w:t>
      </w:r>
      <w:r>
        <w:t xml:space="preserve"> </w:t>
      </w:r>
      <w:r>
        <w:rPr>
          <w:rStyle w:val="VerbatimChar"/>
        </w:rPr>
        <w:t xml:space="preserve">artifacts/api-server</w:t>
      </w:r>
      <w:r>
        <w:t xml:space="preserve">, jak i</w:t>
      </w:r>
      <w:r>
        <w:t xml:space="preserve"> </w:t>
      </w:r>
      <w:r>
        <w:rPr>
          <w:rStyle w:val="VerbatimChar"/>
        </w:rPr>
        <w:t xml:space="preserve">artifacts/finance-app</w:t>
      </w:r>
      <w:r>
        <w:t xml:space="preserve">, dzięki czemu zmiana we współdzielonym schemacie lub typie walidacji jest natychmiast widoczna w obu miejscach, bez etapu publikacji — wystarczy</w:t>
      </w:r>
      <w:r>
        <w:t xml:space="preserve"> </w:t>
      </w:r>
      <w:r>
        <w:rPr>
          <w:rStyle w:val="VerbatimChar"/>
        </w:rPr>
        <w:t xml:space="preserve">pnpm --filter &lt;pkg&gt; run build</w:t>
      </w:r>
      <w:r>
        <w:t xml:space="preserve"> </w:t>
      </w:r>
      <w:r>
        <w:t xml:space="preserve">(lub typecheck na poziomie workspace), aby propagować zmiany typów.</w:t>
      </w:r>
    </w:p>
    <w:p>
      <w:pPr>
        <w:pStyle w:val="BlockText"/>
      </w:pPr>
      <w:r>
        <w:rPr>
          <w:b/>
          <w:bCs/>
        </w:rPr>
        <w:t xml:space="preserve">Uwaga dla przejmującego zespołu:</w:t>
      </w:r>
      <w:r>
        <w:t xml:space="preserve"> </w:t>
      </w:r>
      <w:r>
        <w:rPr>
          <w:rStyle w:val="VerbatimChar"/>
        </w:rPr>
        <w:t xml:space="preserve">artifacts/mockup-sandbox</w:t>
      </w:r>
      <w:r>
        <w:t xml:space="preserve"> </w:t>
      </w:r>
      <w:r>
        <w:t xml:space="preserve">to narzędzie projektowo-prototypowe używane podczas developmentu (hosting podglądu komponentów w iframe dla procesu współpracy z AI przy tym projekcie). Nie jest częścią produktu produkcyjnego i może być pominięte w kontekście utrzymania produkcji, choć jego workflow aktualnie działa równolegle z pozostałymi.</w:t>
      </w:r>
    </w:p>
    <w:bookmarkEnd w:id="21"/>
    <w:bookmarkStart w:id="25" w:name="stos-technologiczny-dokładne-wersje"/>
    <w:p>
      <w:pPr>
        <w:pStyle w:val="Heading1"/>
      </w:pPr>
      <w:r>
        <w:t xml:space="preserve">3. Stos technologiczny — dokładne wersje</w:t>
      </w:r>
    </w:p>
    <w:bookmarkStart w:id="22" w:name="frontend-artifactsfinance-app"/>
    <w:p>
      <w:pPr>
        <w:pStyle w:val="Heading2"/>
      </w:pPr>
      <w:r>
        <w:t xml:space="preserve">3.1 Frontend (</w:t>
      </w:r>
      <w:r>
        <w:rPr>
          <w:rStyle w:val="VerbatimChar"/>
        </w:rPr>
        <w:t xml:space="preserve">artifacts/finance-app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Warstwa</w:t>
            </w:r>
          </w:p>
        </w:tc>
        <w:tc>
          <w:tcPr/>
          <w:p>
            <w:pPr>
              <w:pStyle w:val="Compact"/>
            </w:pPr>
            <w:r>
              <w:t xml:space="preserve">Technologia</w:t>
            </w:r>
          </w:p>
        </w:tc>
        <w:tc>
          <w:tcPr/>
          <w:p>
            <w:pPr>
              <w:pStyle w:val="Compact"/>
            </w:pPr>
            <w:r>
              <w:t xml:space="preserve">Wersja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19.1.0 (przypięta dokładna wersja, bez daszka — patrz 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Narzędzie build / serwer dev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^7.3.2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Stylowanie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^4.1.14 (poprzez plugin</w:t>
            </w:r>
            <w:r>
              <w:t xml:space="preserve"> </w:t>
            </w:r>
            <w:r>
              <w:rPr>
                <w:rStyle w:val="VerbatimChar"/>
              </w:rPr>
              <w:t xml:space="preserve">@tailwindcss/vite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Prymitywy komponentów</w:t>
            </w:r>
          </w:p>
        </w:tc>
        <w:tc>
          <w:tcPr/>
          <w:p>
            <w:pPr>
              <w:pStyle w:val="Compact"/>
            </w:pPr>
            <w:r>
              <w:t xml:space="preserve">Radix UI (</w:t>
            </w:r>
            <w:r>
              <w:rPr>
                <w:rStyle w:val="VerbatimChar"/>
              </w:rPr>
              <w:t xml:space="preserve">@radix-ui/react-*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różne, wzorzec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po stronie klienta</w:t>
            </w:r>
          </w:p>
        </w:tc>
        <w:tc>
          <w:tcPr/>
          <w:p>
            <w:pPr>
              <w:pStyle w:val="Compact"/>
            </w:pPr>
            <w:r>
              <w:t xml:space="preserve">Wouter</w:t>
            </w:r>
          </w:p>
        </w:tc>
        <w:tc>
          <w:tcPr/>
          <w:p>
            <w:pPr>
              <w:pStyle w:val="Compact"/>
            </w:pPr>
            <w:r>
              <w:t xml:space="preserve">^3.3.5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 serwera / pobieranie danych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^5.90.21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Formularze</w:t>
            </w:r>
          </w:p>
        </w:tc>
        <w:tc>
          <w:tcPr/>
          <w:p>
            <w:pPr>
              <w:pStyle w:val="Compact"/>
            </w:pPr>
            <w:r>
              <w:t xml:space="preserve">react-hook-form +</w:t>
            </w:r>
            <w:r>
              <w:t xml:space="preserve"> </w:t>
            </w:r>
            <w:r>
              <w:rPr>
                <w:rStyle w:val="VerbatimChar"/>
              </w:rPr>
              <w:t xml:space="preserve">@hookform/resolvers</w:t>
            </w:r>
            <w:r>
              <w:t xml:space="preserve"> </w:t>
            </w:r>
            <w:r>
              <w:t xml:space="preserve">(Zod)</w:t>
            </w:r>
          </w:p>
        </w:tc>
        <w:tc>
          <w:tcPr/>
          <w:p>
            <w:pPr>
              <w:pStyle w:val="Compact"/>
            </w:pPr>
            <w:r>
              <w:t xml:space="preserve">^7.55.0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Animacje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^12.23.24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Wykresy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^2.15.2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/ powłoka 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vite-plugin-pwa</w:t>
            </w:r>
            <w:r>
              <w:t xml:space="preserve"> </w:t>
            </w:r>
            <w:r>
              <w:t xml:space="preserve">+ Workbox</w:t>
            </w:r>
          </w:p>
        </w:tc>
        <w:tc>
          <w:tcPr/>
          <w:p>
            <w:pPr>
              <w:pStyle w:val="Compact"/>
            </w:pPr>
            <w:r>
              <w:t xml:space="preserve">^1.3.0 / ^7.4.1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Śledzenie błędów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@sentry/react</w:t>
            </w:r>
          </w:p>
        </w:tc>
        <w:tc>
          <w:tcPr/>
          <w:p>
            <w:pPr>
              <w:pStyle w:val="Compact"/>
            </w:pPr>
            <w:r>
              <w:t xml:space="preserve">^10.64.0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Walidacja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^3.25.76</w:t>
            </w:r>
          </w:p>
        </w:tc>
      </w:tr>
    </w:tbl>
    <w:bookmarkEnd w:id="22"/>
    <w:bookmarkStart w:id="23" w:name="backend-artifactsapi-server"/>
    <w:p>
      <w:pPr>
        <w:pStyle w:val="Heading2"/>
      </w:pPr>
      <w:r>
        <w:t xml:space="preserve">3.2 Backend (</w:t>
      </w:r>
      <w:r>
        <w:rPr>
          <w:rStyle w:val="VerbatimChar"/>
        </w:rPr>
        <w:t xml:space="preserve">artifacts/api-server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Warstwa</w:t>
            </w:r>
          </w:p>
        </w:tc>
        <w:tc>
          <w:tcPr/>
          <w:p>
            <w:pPr>
              <w:pStyle w:val="Compact"/>
            </w:pPr>
            <w:r>
              <w:t xml:space="preserve">Technologia</w:t>
            </w:r>
          </w:p>
        </w:tc>
        <w:tc>
          <w:tcPr/>
          <w:p>
            <w:pPr>
              <w:pStyle w:val="Compact"/>
            </w:pPr>
            <w:r>
              <w:t xml:space="preserve">Wersja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Środowisko uruchomieniowe</w:t>
            </w:r>
          </w:p>
        </w:tc>
        <w:tc>
          <w:tcPr/>
          <w:p>
            <w:pPr>
              <w:pStyle w:val="Compact"/>
            </w:pPr>
            <w:r>
              <w:t xml:space="preserve">Node.js (TypeScript, ESM</w:t>
            </w:r>
            <w:r>
              <w:t xml:space="preserve"> </w:t>
            </w:r>
            <w:r>
              <w:rPr>
                <w:rStyle w:val="VerbatimChar"/>
              </w:rPr>
              <w:t xml:space="preserve">type: module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TS 5.9.2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HTTP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^5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 ORM</w:t>
            </w:r>
          </w:p>
        </w:tc>
        <w:tc>
          <w:tcPr/>
          <w:p>
            <w:pPr>
              <w:pStyle w:val="Compact"/>
            </w:pPr>
            <w:r>
              <w:t xml:space="preserve">^0.45.2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Baza danych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Magazyn sesji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connect-pg-simple</w:t>
            </w:r>
            <w:r>
              <w:t xml:space="preserve"> </w:t>
            </w:r>
            <w:r>
              <w:t xml:space="preserve">(oparty na Postgres)</w:t>
            </w:r>
          </w:p>
        </w:tc>
        <w:tc>
          <w:tcPr/>
          <w:p>
            <w:pPr>
              <w:pStyle w:val="Compact"/>
            </w:pPr>
            <w:r>
              <w:t xml:space="preserve">^1.19.0 / ^10.0.0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Hashowanie haseł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^8.5.2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Nagłówki bezpieczeństwa</w:t>
            </w:r>
          </w:p>
        </w:tc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^8.2.0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Logowanie</w:t>
            </w:r>
          </w:p>
        </w:tc>
        <w:tc>
          <w:tcPr/>
          <w:p>
            <w:pPr>
              <w:pStyle w:val="Compact"/>
            </w:pPr>
            <w:r>
              <w:t xml:space="preserve">Pino /</w:t>
            </w:r>
            <w:r>
              <w:t xml:space="preserve"> </w:t>
            </w:r>
            <w:r>
              <w:rPr>
                <w:rStyle w:val="VerbatimChar"/>
              </w:rPr>
              <w:t xml:space="preserve">pino-http</w:t>
            </w:r>
          </w:p>
        </w:tc>
        <w:tc>
          <w:tcPr/>
          <w:p>
            <w:pPr>
              <w:pStyle w:val="Compact"/>
            </w:pPr>
            <w:r>
              <w:t xml:space="preserve">^9 / ^10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Śledzenie błędów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@sentry/node</w:t>
            </w:r>
            <w:r>
              <w:t xml:space="preserve"> </w:t>
            </w:r>
            <w:r>
              <w:t xml:space="preserve">(+ pakiety OpenTelemetry SDK)</w:t>
            </w:r>
          </w:p>
        </w:tc>
        <w:tc>
          <w:tcPr/>
          <w:p>
            <w:pPr>
              <w:pStyle w:val="Compact"/>
            </w:pPr>
            <w:r>
              <w:t xml:space="preserve">^10.64.0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Magazyn obiektowy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@google-cloud/storage</w:t>
            </w:r>
          </w:p>
        </w:tc>
        <w:tc>
          <w:tcPr/>
          <w:p>
            <w:pPr>
              <w:pStyle w:val="Compact"/>
            </w:pPr>
            <w:r>
              <w:t xml:space="preserve">^7.21.0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Ekstrakcja AI (skanowanie paragonów)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@google/genai</w:t>
            </w:r>
            <w:r>
              <w:t xml:space="preserve"> </w:t>
            </w:r>
            <w:r>
              <w:t xml:space="preserve">(Gemini API)</w:t>
            </w:r>
          </w:p>
        </w:tc>
        <w:tc>
          <w:tcPr/>
          <w:p>
            <w:pPr>
              <w:pStyle w:val="Compact"/>
            </w:pPr>
            <w:r>
              <w:t xml:space="preserve">^2.10.0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Wysyłka e-mail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^6.16.0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web-push</w:t>
            </w:r>
          </w:p>
        </w:tc>
        <w:tc>
          <w:tcPr/>
          <w:p>
            <w:pPr>
              <w:pStyle w:val="Compact"/>
            </w:pPr>
            <w:r>
              <w:t xml:space="preserve">^3.6.7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esbuild poprzez własny skrypt</w:t>
            </w:r>
            <w:r>
              <w:t xml:space="preserve"> </w:t>
            </w:r>
            <w:r>
              <w:rPr>
                <w:rStyle w:val="VerbatimChar"/>
              </w:rPr>
              <w:t xml:space="preserve">build.mjs</w:t>
            </w:r>
          </w:p>
        </w:tc>
        <w:tc>
          <w:tcPr/>
          <w:p>
            <w:pPr>
              <w:pStyle w:val="Compact"/>
            </w:pPr>
            <w:r>
              <w:t xml:space="preserve">^0.27.3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Testy</w:t>
            </w:r>
          </w:p>
        </w:tc>
        <w:tc>
          <w:tcPr/>
          <w:p>
            <w:pPr>
              <w:pStyle w:val="Compact"/>
            </w:pPr>
            <w:r>
              <w:t xml:space="preserve">Vitest + Supertest</w:t>
            </w:r>
          </w:p>
        </w:tc>
        <w:tc>
          <w:tcPr/>
          <w:p>
            <w:pPr>
              <w:pStyle w:val="Compact"/>
            </w:pPr>
            <w:r>
              <w:t xml:space="preserve">^4.1.10 / ^7.2.2</w:t>
            </w:r>
          </w:p>
        </w:tc>
      </w:tr>
    </w:tbl>
    <w:bookmarkEnd w:id="23"/>
    <w:bookmarkStart w:id="24" w:name="zarządzanie-zależnościami"/>
    <w:p>
      <w:pPr>
        <w:pStyle w:val="Heading2"/>
      </w:pPr>
      <w:r>
        <w:t xml:space="preserve">3.3 Zarządzanie zależnościami</w:t>
      </w:r>
    </w:p>
    <w:p>
      <w:pPr>
        <w:pStyle w:val="FirstParagraph"/>
      </w:pPr>
      <w:r>
        <w:t xml:space="preserve">Root workspace</w:t>
      </w:r>
      <w:r>
        <w:t xml:space="preserve"> </w:t>
      </w:r>
      <w:r>
        <w:rPr>
          <w:rStyle w:val="VerbatimChar"/>
        </w:rPr>
        <w:t xml:space="preserve">pnpm-workspace.yaml</w:t>
      </w:r>
      <w:r>
        <w:t xml:space="preserve"> </w:t>
      </w:r>
      <w:r>
        <w:t xml:space="preserve">wymusza politykę</w:t>
      </w:r>
      <w:r>
        <w:t xml:space="preserve"> </w:t>
      </w:r>
      <w:r>
        <w:rPr>
          <w:rStyle w:val="VerbatimChar"/>
          <w:b/>
          <w:bCs/>
        </w:rPr>
        <w:t xml:space="preserve">minimumReleaseAge: 1440</w:t>
      </w:r>
      <w:r>
        <w:t xml:space="preserve"> </w:t>
      </w:r>
      <w:r>
        <w:t xml:space="preserve">(24 godziny) dla wszystkich instalowanych pakietów, jako zabezpieczenie przed atakami na łańcuch dostaw (supply-chain) — pnpm odmówi instalacji wersji pakietu opublikowanej mniej niż 24 godziny temu, chyba że jest ona jawnie dodana do listy wyjątków</w:t>
      </w:r>
      <w:r>
        <w:t xml:space="preserve"> </w:t>
      </w:r>
      <w:r>
        <w:rPr>
          <w:rStyle w:val="VerbatimChar"/>
        </w:rPr>
        <w:t xml:space="preserve">minimumReleaseAgeExclude</w:t>
      </w:r>
      <w:r>
        <w:t xml:space="preserve"> </w:t>
      </w:r>
      <w:r>
        <w:t xml:space="preserve">(obecnie ograniczonej do</w:t>
      </w:r>
      <w:r>
        <w:t xml:space="preserve"> </w:t>
      </w:r>
      <w:r>
        <w:rPr>
          <w:rStyle w:val="VerbatimChar"/>
        </w:rPr>
        <w:t xml:space="preserve">@replit/*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stripe-replit-sync</w:t>
      </w:r>
      <w:r>
        <w:t xml:space="preserve">).</w:t>
      </w:r>
      <w:r>
        <w:t xml:space="preserve"> </w:t>
      </w:r>
      <w:r>
        <w:rPr>
          <w:b/>
          <w:bCs/>
        </w:rPr>
        <w:t xml:space="preserve">Nie usuwać ani nie obniżać tego ustawienia.</w:t>
      </w:r>
    </w:p>
    <w:p>
      <w:pPr>
        <w:pStyle w:val="BodyText"/>
      </w:pPr>
      <w:r>
        <w:t xml:space="preserve">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zawiera dodatkowo blok</w:t>
      </w:r>
      <w:r>
        <w:t xml:space="preserve"> </w:t>
      </w:r>
      <w:r>
        <w:rPr>
          <w:rStyle w:val="VerbatimChar"/>
        </w:rPr>
        <w:t xml:space="preserve">pnpm.overrides</w:t>
      </w:r>
      <w:r>
        <w:t xml:space="preserve">, który wymusza konkretne wersje</w:t>
      </w:r>
      <w:r>
        <w:t xml:space="preserve"> </w:t>
      </w:r>
      <w:r>
        <w:rPr>
          <w:i/>
          <w:iCs/>
        </w:rPr>
        <w:t xml:space="preserve">tranzytywnych</w:t>
      </w:r>
      <w:r>
        <w:t xml:space="preserve"> </w:t>
      </w:r>
      <w:r>
        <w:t xml:space="preserve">zależności (np.</w:t>
      </w:r>
      <w:r>
        <w:t xml:space="preserve"> </w:t>
      </w:r>
      <w:r>
        <w:rPr>
          <w:rStyle w:val="VerbatimChar"/>
        </w:rPr>
        <w:t xml:space="preserve">fast-uri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linkify-it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path-to-regexp</w:t>
      </w:r>
      <w:r>
        <w:t xml:space="preserve">,</w:t>
      </w:r>
      <w:r>
        <w:t xml:space="preserve"> </w:t>
      </w:r>
      <w:r>
        <w:rPr>
          <w:rStyle w:val="VerbatimChar"/>
        </w:rPr>
        <w:t xml:space="preserve">picomatch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</w:t>
      </w:r>
      <w:r>
        <w:t xml:space="preserve">) na wersje z poprawkami bezpieczeństwa. Te nadpisania zostały wprowadzone w celu usunięcia znanych podatności o wysokim poziomie krytyczności (CVE) w pakietach, od których projekt nie zależy bezpośrednio, ale które są ściągane tranzytywnie; powinny pozostać do czasu, aż pakiety nadrzędne, które je wprowadzają, podniosą własne dolne granice wersji powyżej podatnego zakresu (przed usunięciem jakiegokolwiek wpisu należy zweryfikować to poleceniem</w:t>
      </w:r>
      <w:r>
        <w:t xml:space="preserve"> </w:t>
      </w:r>
      <w:r>
        <w:rPr>
          <w:rStyle w:val="VerbatimChar"/>
        </w:rPr>
        <w:t xml:space="preserve">pnpm audit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pnpm why &lt;package&gt;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react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są przypięte do</w:t>
      </w:r>
      <w:r>
        <w:t xml:space="preserve"> </w:t>
      </w:r>
      <w:r>
        <w:rPr>
          <w:b/>
          <w:bCs/>
        </w:rPr>
        <w:t xml:space="preserve">dokładnej</w:t>
      </w:r>
      <w:r>
        <w:t xml:space="preserve"> </w:t>
      </w:r>
      <w:r>
        <w:t xml:space="preserve">wersji (</w:t>
      </w:r>
      <w:r>
        <w:rPr>
          <w:rStyle w:val="VerbatimChar"/>
        </w:rPr>
        <w:t xml:space="preserve">19.1.0</w:t>
      </w:r>
      <w:r>
        <w:t xml:space="preserve">, bez daszka) w katalogu zależności, ponieważ zależny od tego workspace klient mobilny oparty na Expo (jeśli/gdy zostanie zbudowany) wymaga dokładnie tej wersji; nie należy luzować tego przypięcia bez sprawdzenia kompatybilności z Expo.</w:t>
      </w:r>
    </w:p>
    <w:bookmarkEnd w:id="24"/>
    <w:bookmarkEnd w:id="25"/>
    <w:bookmarkStart w:id="30" w:name="architektura-backendu"/>
    <w:p>
      <w:pPr>
        <w:pStyle w:val="Heading1"/>
      </w:pPr>
      <w:r>
        <w:t xml:space="preserve">4. Architektura backendu</w:t>
      </w:r>
    </w:p>
    <w:bookmarkStart w:id="26" w:name="uruchamianie-aplikacji-bootstrap"/>
    <w:p>
      <w:pPr>
        <w:pStyle w:val="Heading2"/>
      </w:pPr>
      <w:r>
        <w:t xml:space="preserve">4.1 Uruchamianie aplikacji (bootstrap)</w:t>
      </w:r>
    </w:p>
    <w:p>
      <w:pPr>
        <w:pStyle w:val="FirstParagraph"/>
      </w:pPr>
      <w:r>
        <w:rPr>
          <w:rStyle w:val="VerbatimChar"/>
        </w:rPr>
        <w:t xml:space="preserve">artifacts/api-server/src/index.ts</w:t>
      </w:r>
      <w:r>
        <w:t xml:space="preserve"> </w:t>
      </w:r>
      <w:r>
        <w:t xml:space="preserve">jest punktem wejścia procesu. Sekwencja startowa:</w:t>
      </w:r>
    </w:p>
    <w:p>
      <w:pPr>
        <w:pStyle w:val="Compact"/>
        <w:numPr>
          <w:ilvl w:val="0"/>
          <w:numId w:val="1001"/>
        </w:numPr>
      </w:pPr>
      <w:r>
        <w:t xml:space="preserve">Import</w:t>
      </w:r>
      <w:r>
        <w:t xml:space="preserve"> </w:t>
      </w:r>
      <w:r>
        <w:rPr>
          <w:rStyle w:val="VerbatimChar"/>
        </w:rPr>
        <w:t xml:space="preserve">./lib/sentry</w:t>
      </w:r>
      <w:r>
        <w:t xml:space="preserve"> </w:t>
      </w:r>
      <w:r>
        <w:rPr>
          <w:b/>
          <w:bCs/>
        </w:rPr>
        <w:t xml:space="preserve">jako pierwszy</w:t>
      </w:r>
      <w:r>
        <w:t xml:space="preserve">, przed jakimkolwiek innym modułem, aby mechanizmy auto-instrumentacji Sentry zostały podłączone zanim zainicjują się inne biblioteki.</w:t>
      </w:r>
    </w:p>
    <w:p>
      <w:pPr>
        <w:pStyle w:val="Compact"/>
        <w:numPr>
          <w:ilvl w:val="0"/>
          <w:numId w:val="1001"/>
        </w:numPr>
      </w:pPr>
      <w:r>
        <w:t xml:space="preserve">Natychmiastowe zatrzymanie (</w:t>
      </w:r>
      <w:r>
        <w:rPr>
          <w:rStyle w:val="VerbatimChar"/>
        </w:rPr>
        <w:t xml:space="preserve">process.exit(1)</w:t>
      </w:r>
      <w:r>
        <w:t xml:space="preserve">), jeśli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nie jest ustawione — każda trasa (route) zależy od połączenia z bazą danych, a uruchomienie mimo to spowodowałoby jedynie mylące błędy przy każdym żądaniu zamiast jednego jasnego błędu startowego.</w:t>
      </w:r>
    </w:p>
    <w:p>
      <w:pPr>
        <w:pStyle w:val="Compact"/>
        <w:numPr>
          <w:ilvl w:val="0"/>
          <w:numId w:val="1001"/>
        </w:numPr>
      </w:pPr>
      <w:r>
        <w:t xml:space="preserve">Natychmiastowe zatrzymanie (</w:t>
      </w:r>
      <w:r>
        <w:rPr>
          <w:rStyle w:val="VerbatimChar"/>
        </w:rPr>
        <w:t xml:space="preserve">throw</w:t>
      </w:r>
      <w:r>
        <w:t xml:space="preserve">), jeśli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jest brakujące lub nie jest prawidłową dodatnią liczbą.</w:t>
      </w:r>
    </w:p>
    <w:p>
      <w:pPr>
        <w:pStyle w:val="Compact"/>
        <w:numPr>
          <w:ilvl w:val="0"/>
          <w:numId w:val="1001"/>
        </w:numPr>
      </w:pPr>
      <w:r>
        <w:t xml:space="preserve">Uzyskanie</w:t>
      </w:r>
      <w:r>
        <w:t xml:space="preserve"> </w:t>
      </w:r>
      <w:r>
        <w:rPr>
          <w:b/>
          <w:bCs/>
        </w:rPr>
        <w:t xml:space="preserve">blokady doradczej PostgreSQL</w:t>
      </w:r>
      <w:r>
        <w:t xml:space="preserve"> </w:t>
      </w:r>
      <w:r>
        <w:t xml:space="preserve">(</w:t>
      </w:r>
      <w:r>
        <w:rPr>
          <w:rStyle w:val="VerbatimChar"/>
        </w:rPr>
        <w:t xml:space="preserve">pg_advisory_lock(987654321)</w:t>
      </w:r>
      <w:r>
        <w:t xml:space="preserve">) przed uruchomieniem jakiejkolwiek konfiguracji schematu. Serializuje to wykonanie migracji pomiędzy równoległymi instancjami (np. wdrożenia typu rolling deploy, hot-reload w trybie deweloperskim uruchamiający wiele procesów), aby dwa procesy nigdy nie wykonywały DDL jednocześnie.</w:t>
      </w:r>
    </w:p>
    <w:p>
      <w:pPr>
        <w:pStyle w:val="Compact"/>
        <w:numPr>
          <w:ilvl w:val="0"/>
          <w:numId w:val="1001"/>
        </w:numPr>
      </w:pPr>
      <w:r>
        <w:t xml:space="preserve">Uruchomienie</w:t>
      </w:r>
      <w:r>
        <w:t xml:space="preserve"> </w:t>
      </w:r>
      <w:r>
        <w:rPr>
          <w:rStyle w:val="VerbatimChar"/>
        </w:rPr>
        <w:t xml:space="preserve">baselineLegacyPushDatabase()</w:t>
      </w:r>
      <w:r>
        <w:t xml:space="preserve"> </w:t>
      </w:r>
      <w:r>
        <w:t xml:space="preserve">— jednorazowej łatki kompatybilności. Jeśli baza danych była wcześniej inicjalizowana poleceniem</w:t>
      </w:r>
      <w:r>
        <w:t xml:space="preserve"> </w:t>
      </w:r>
      <w:r>
        <w:rPr>
          <w:rStyle w:val="VerbatimChar"/>
        </w:rPr>
        <w:t xml:space="preserve">drizzle-kit push</w:t>
      </w:r>
      <w:r>
        <w:t xml:space="preserve"> </w:t>
      </w:r>
      <w:r>
        <w:t xml:space="preserve">(brak tabeli śledzącej</w:t>
      </w:r>
      <w:r>
        <w:t xml:space="preserve"> </w:t>
      </w:r>
      <w:r>
        <w:rPr>
          <w:rStyle w:val="VerbatimChar"/>
        </w:rPr>
        <w:t xml:space="preserve">drizzle.__drizzle_migrations</w:t>
      </w:r>
      <w:r>
        <w:t xml:space="preserve">), ale posiada już ≥10 tabel aplikacyjnych, funkcja oznacza migrację początkową jako już zastosowaną, aby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z</w:t>
      </w:r>
      <w:r>
        <w:t xml:space="preserve"> </w:t>
      </w:r>
      <w:r>
        <w:rPr>
          <w:rStyle w:val="VerbatimChar"/>
        </w:rPr>
        <w:t xml:space="preserve">drizzle-orm</w:t>
      </w:r>
      <w:r>
        <w:t xml:space="preserve"> </w:t>
      </w:r>
      <w:r>
        <w:t xml:space="preserve">nie próbowało ponownie wykonać DDL na istniejących tabelach. Na zupełnie nowej bazie danych jest to operacja pusta (no-op), a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buduje schemat od zera.</w:t>
      </w:r>
    </w:p>
    <w:p>
      <w:pPr>
        <w:pStyle w:val="Compact"/>
        <w:numPr>
          <w:ilvl w:val="0"/>
          <w:numId w:val="1001"/>
        </w:numPr>
      </w:pPr>
      <w:r>
        <w:t xml:space="preserve">Uruchomienie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(migrator PostgreSQL z</w:t>
      </w:r>
      <w:r>
        <w:t xml:space="preserve"> </w:t>
      </w:r>
      <w:r>
        <w:rPr>
          <w:rStyle w:val="VerbatimChar"/>
        </w:rPr>
        <w:t xml:space="preserve">drizzle-orm</w:t>
      </w:r>
      <w:r>
        <w:t xml:space="preserve">) względem katalogu</w:t>
      </w:r>
      <w:r>
        <w:t xml:space="preserve"> </w:t>
      </w:r>
      <w:r>
        <w:rPr>
          <w:rStyle w:val="VerbatimChar"/>
        </w:rPr>
        <w:t xml:space="preserve">lib/db/migrations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Zwolnienie blokady doradczej.</w:t>
      </w:r>
    </w:p>
    <w:p>
      <w:pPr>
        <w:pStyle w:val="Compact"/>
        <w:numPr>
          <w:ilvl w:val="0"/>
          <w:numId w:val="1001"/>
        </w:numPr>
      </w:pPr>
      <w:r>
        <w:t xml:space="preserve">Wywołanie</w:t>
      </w:r>
      <w:r>
        <w:t xml:space="preserve"> </w:t>
      </w:r>
      <w:r>
        <w:rPr>
          <w:rStyle w:val="VerbatimChar"/>
        </w:rPr>
        <w:t xml:space="preserve">app.listen(port)</w:t>
      </w:r>
      <w:r>
        <w:t xml:space="preserve">.</w:t>
      </w:r>
    </w:p>
    <w:p>
      <w:pPr>
        <w:pStyle w:val="FirstParagraph"/>
      </w:pPr>
      <w:r>
        <w:t xml:space="preserve">Ten mechanizm oznacza, że bezpiecznym sposobem ewolucji schematu w przyszłości jest</w:t>
      </w:r>
      <w:r>
        <w:t xml:space="preserve"> </w:t>
      </w:r>
      <w:r>
        <w:rPr>
          <w:b/>
          <w:bCs/>
        </w:rPr>
        <w:t xml:space="preserve">wyłącznie</w:t>
      </w:r>
      <w:r>
        <w:t xml:space="preserve"> </w:t>
      </w:r>
      <w:r>
        <w:t xml:space="preserve">użycie</w:t>
      </w:r>
      <w:r>
        <w:t xml:space="preserve"> </w:t>
      </w:r>
      <w:r>
        <w:rPr>
          <w:rStyle w:val="VerbatimChar"/>
        </w:rPr>
        <w:t xml:space="preserve">drizzle-kit generate</w:t>
      </w:r>
      <w:r>
        <w:t xml:space="preserve"> </w:t>
      </w:r>
      <w:r>
        <w:t xml:space="preserve">wraz z zatwierdzonymi (committed) plikami migracji w</w:t>
      </w:r>
      <w:r>
        <w:t xml:space="preserve"> </w:t>
      </w:r>
      <w:r>
        <w:rPr>
          <w:rStyle w:val="VerbatimChar"/>
        </w:rPr>
        <w:t xml:space="preserve">lib/db/migrations</w:t>
      </w:r>
      <w:r>
        <w:t xml:space="preserve"> </w:t>
      </w:r>
      <w:r>
        <w:t xml:space="preserve">— nigdy</w:t>
      </w:r>
      <w:r>
        <w:t xml:space="preserve"> </w:t>
      </w:r>
      <w:r>
        <w:rPr>
          <w:rStyle w:val="VerbatimChar"/>
        </w:rPr>
        <w:t xml:space="preserve">drizzle-kit push</w:t>
      </w:r>
      <w:r>
        <w:t xml:space="preserve"> </w:t>
      </w:r>
      <w:r>
        <w:t xml:space="preserve">względem bazy danych zawierającej rzeczywiste dane produkcyjne, ponieważ omija to rejestr migracji, od którego zależy powyższa logika startowa.</w:t>
      </w:r>
    </w:p>
    <w:bookmarkEnd w:id="26"/>
    <w:bookmarkStart w:id="27" w:name="X3ac82cf51360d8f2d4a93dc1f163efb57cc581f"/>
    <w:p>
      <w:pPr>
        <w:pStyle w:val="Heading2"/>
      </w:pPr>
      <w:r>
        <w:t xml:space="preserve">4.2 Stos middleware (</w:t>
      </w:r>
      <w:r>
        <w:rPr>
          <w:rStyle w:val="VerbatimChar"/>
        </w:rPr>
        <w:t xml:space="preserve">artifacts/api-server/src/app.ts</w:t>
      </w:r>
      <w:r>
        <w:t xml:space="preserve">)</w:t>
      </w:r>
    </w:p>
    <w:p>
      <w:pPr>
        <w:pStyle w:val="FirstParagraph"/>
      </w:pPr>
      <w:r>
        <w:t xml:space="preserve">Stosowany w następującej kolejności: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pino-http</w:t>
      </w:r>
      <w:r>
        <w:t xml:space="preserve"> </w:t>
      </w:r>
      <w:r>
        <w:t xml:space="preserve">— strukturalne logowanie żądań; niestandardowe serializatory usuwają parametry zapytania (query string) z logowanych adresów URL i logują wyłącznie kod statusu z odpowiedzi (zapobiega wyciekowi danych PII/tokenów z query stringów do logów).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Helmet</w:t>
      </w:r>
      <w:r>
        <w:t xml:space="preserve"> </w:t>
      </w:r>
      <w:r>
        <w:t xml:space="preserve">— nagłówki bezpieczeństwa, z jawnie wyłączonymi</w:t>
      </w:r>
      <w:r>
        <w:t xml:space="preserve"> </w:t>
      </w:r>
      <w:r>
        <w:rPr>
          <w:rStyle w:val="VerbatimChar"/>
        </w:rPr>
        <w:t xml:space="preserve">contentSecurityPolicy: false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crossOriginEmbedderPolicy: false</w:t>
      </w:r>
      <w:r>
        <w:t xml:space="preserve"> </w:t>
      </w:r>
      <w:r>
        <w:t xml:space="preserve">(API zwraca wyłącznie JSON, a service worker PWA musi ładować zasoby z innych domen; CSP ma być egzekwowane na warstwie frontendu/edge, a nie duplikowane tutaj).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 lista dozwolonych origin budowana z</w:t>
      </w:r>
      <w:r>
        <w:t xml:space="preserve"> </w:t>
      </w:r>
      <w:r>
        <w:rPr>
          <w:rStyle w:val="VerbatimChar"/>
        </w:rPr>
        <w:t xml:space="preserve">REPLIT_DOMAINS</w:t>
      </w:r>
      <w:r>
        <w:t xml:space="preserve"> </w:t>
      </w:r>
      <w:r>
        <w:t xml:space="preserve">(lista domen produkcyjnych rozdzielona przecinkami, dopasowywana jako</w:t>
      </w:r>
      <w:r>
        <w:t xml:space="preserve"> </w:t>
      </w:r>
      <w:r>
        <w:rPr>
          <w:rStyle w:val="VerbatimChar"/>
        </w:rPr>
        <w:t xml:space="preserve">https://&lt;domena&gt;</w:t>
      </w:r>
      <w:r>
        <w:t xml:space="preserve">), plus dopuszczenia oparte na wyrażeniach regularnych dla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na dowolnym porcie (wyłącznie środowisko deweloperskie). Żądania bez nagłówka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(curl, natywne klienty mobilne, żądania same-origin) są przepuszczane; wszystko inne jest odrzucane i logowane jako ostrzeżenie. Ustawione jest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, aby ciasteczka sesji działały międzysubdomenowo.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express.json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express.urlencoded</w:t>
      </w:r>
      <w:r>
        <w:t xml:space="preserve"> </w:t>
      </w:r>
      <w:r>
        <w:t xml:space="preserve">— limit body 30 MB (dobrany pod przesyłanie obrazów paragonów zakodowanych w base64: base64 dodaje ~33% narzutu, więc 30 MB komfortowo pokrywa plik źródłowy o rozmiarze 20 MB).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express-session</w:t>
      </w:r>
      <w:r>
        <w:t xml:space="preserve">, oparta na</w:t>
      </w:r>
      <w:r>
        <w:t xml:space="preserve"> </w:t>
      </w:r>
      <w:r>
        <w:rPr>
          <w:rStyle w:val="VerbatimChar"/>
        </w:rPr>
        <w:t xml:space="preserve">connect-pg-simple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 tworzona automatycznie). Konfiguracja ciasteczka: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sameSite: "strict"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uzależnione od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 </w:t>
      </w:r>
      <w:r>
        <w:t xml:space="preserve">(musi być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 czystym środowisku HTTP dev,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za proxy HTTPS Replit na produkcji — ustawione jest</w:t>
      </w:r>
      <w:r>
        <w:t xml:space="preserve"> </w:t>
      </w:r>
      <w:r>
        <w:rPr>
          <w:rStyle w:val="VerbatimChar"/>
        </w:rPr>
        <w:t xml:space="preserve">app.set("trust proxy", 1)</w:t>
      </w:r>
      <w:r>
        <w:t xml:space="preserve">, aby</w:t>
      </w:r>
      <w:r>
        <w:t xml:space="preserve"> </w:t>
      </w:r>
      <w:r>
        <w:rPr>
          <w:rStyle w:val="VerbatimChar"/>
        </w:rPr>
        <w:t xml:space="preserve">req.secure</w:t>
      </w:r>
      <w:r>
        <w:t xml:space="preserve"> </w:t>
      </w:r>
      <w:r>
        <w:t xml:space="preserve">rozpoznawało się poprawnie za proxy),</w:t>
      </w:r>
      <w:r>
        <w:t xml:space="preserve"> </w:t>
      </w:r>
      <w:r>
        <w:rPr>
          <w:rStyle w:val="VerbatimChar"/>
        </w:rPr>
        <w:t xml:space="preserve">maxAge</w:t>
      </w:r>
      <w:r>
        <w:t xml:space="preserve"> </w:t>
      </w:r>
      <w:r>
        <w:t xml:space="preserve">30 dni.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express-rate-limit</w:t>
      </w:r>
      <w:r>
        <w:t xml:space="preserve">), stosowany selektywnie: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/api/auth/*</w:t>
      </w:r>
      <w:r>
        <w:t xml:space="preserve"> </w:t>
      </w:r>
      <w:r>
        <w:t xml:space="preserve">— 20 żądań / 15 minut na adres IP (ochrona przed atakami brute-force na logowanie/PIN).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/api/transactions/extract-screenshot</w:t>
      </w:r>
      <w:r>
        <w:t xml:space="preserve"> </w:t>
      </w:r>
      <w:r>
        <w:t xml:space="preserve">— 30 żądań / godzinę na adres IP (ochrona przed kosztami/nadużyciami — ten endpoint wywołuje płatne API Gemini przy każdym żądaniu).</w:t>
      </w:r>
    </w:p>
    <w:p>
      <w:pPr>
        <w:pStyle w:val="Compact"/>
        <w:numPr>
          <w:ilvl w:val="0"/>
          <w:numId w:val="1002"/>
        </w:numPr>
      </w:pPr>
      <w:r>
        <w:t xml:space="preserve">Główny router API zamontowany pod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Jawny handler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 formacie JSON dla niedopasowanych tras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(unika przechodzenia do domyślnej strony błędu HTML dla klientów API).</w:t>
      </w:r>
    </w:p>
    <w:p>
      <w:pPr>
        <w:pStyle w:val="FirstParagraph"/>
      </w:pPr>
      <w:r>
        <w:rPr>
          <w:b/>
          <w:bCs/>
        </w:rPr>
        <w:t xml:space="preserve">Kontrola bezpieczeństwa przy starcie:</w:t>
      </w:r>
      <w:r>
        <w:t xml:space="preserve"> </w:t>
      </w:r>
      <w:r>
        <w:t xml:space="preserve">jeśli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nie jest ustawione lub jest równe literalnej wartości zastępczej</w:t>
      </w:r>
      <w:r>
        <w:t xml:space="preserve"> </w:t>
      </w:r>
      <w:r>
        <w:rPr>
          <w:rStyle w:val="VerbatimChar"/>
        </w:rPr>
        <w:t xml:space="preserve">"dev-secret-change-in-prod"</w:t>
      </w:r>
      <w:r>
        <w:t xml:space="preserve">, aplikacja zgłasza wyjątek i odmawia uruchomienia, gdy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 </w:t>
      </w:r>
      <w:r>
        <w:t xml:space="preserve">(w środowisku deweloperskim jedynie ostrzega). Nie usuwać tego zabezpieczenia.</w:t>
      </w:r>
    </w:p>
    <w:bookmarkEnd w:id="27"/>
    <w:bookmarkStart w:id="28" w:name="moduły-tras-artifactsapi-serversrcroutes"/>
    <w:p>
      <w:pPr>
        <w:pStyle w:val="Heading2"/>
      </w:pPr>
      <w:r>
        <w:t xml:space="preserve">4.3 Moduły tras (</w:t>
      </w:r>
      <w:r>
        <w:rPr>
          <w:rStyle w:val="VerbatimChar"/>
        </w:rPr>
        <w:t xml:space="preserve">artifacts/api-server/src/routes/</w:t>
      </w:r>
      <w:r>
        <w:t xml:space="preserve">)</w:t>
      </w:r>
    </w:p>
    <w:p>
      <w:pPr>
        <w:pStyle w:val="FirstParagraph"/>
      </w:pPr>
      <w:r>
        <w:t xml:space="preserve">Każdy plik rejestruje osobny router Express montowany przez</w:t>
      </w:r>
      <w:r>
        <w:t xml:space="preserve"> </w:t>
      </w:r>
      <w:r>
        <w:rPr>
          <w:rStyle w:val="VerbatimChar"/>
        </w:rPr>
        <w:t xml:space="preserve">routes/index.ts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Plik</w:t>
            </w:r>
          </w:p>
        </w:tc>
        <w:tc>
          <w:tcPr/>
          <w:p>
            <w:pPr>
              <w:pStyle w:val="Compact"/>
            </w:pPr>
            <w:r>
              <w:t xml:space="preserve">Odpowiedzialność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categories.ts</w:t>
            </w:r>
          </w:p>
        </w:tc>
        <w:tc>
          <w:tcPr/>
          <w:p>
            <w:pPr>
              <w:pStyle w:val="Compact"/>
            </w:pPr>
            <w:r>
              <w:t xml:space="preserve">CRUD dla kategorii wydatków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category-shares.ts</w:t>
            </w:r>
          </w:p>
        </w:tc>
        <w:tc>
          <w:tcPr/>
          <w:p>
            <w:pPr>
              <w:pStyle w:val="Compact"/>
            </w:pPr>
            <w:r>
              <w:t xml:space="preserve">Propozycje współdzielenia kategorii w gospodarstwie domowym (zaproponuj/zaakceptuj/odrzuć kategorię współdzieloną między członkami)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currencies.ts</w:t>
            </w:r>
          </w:p>
        </w:tc>
        <w:tc>
          <w:tcPr/>
          <w:p>
            <w:pPr>
              <w:pStyle w:val="Compact"/>
            </w:pPr>
            <w:r>
              <w:t xml:space="preserve">Lista obsługiwanych walut i pobieranie kursów wymiany dla transakcji wielowalutowych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goals.ts</w:t>
            </w:r>
          </w:p>
        </w:tc>
        <w:tc>
          <w:tcPr/>
          <w:p>
            <w:pPr>
              <w:pStyle w:val="Compact"/>
            </w:pPr>
            <w:r>
              <w:t xml:space="preserve">CRUD celów oszczędnościowych, wpłaty i logika realizacji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great-larder.ts</w:t>
            </w:r>
          </w:p>
        </w:tc>
        <w:tc>
          <w:tcPr/>
          <w:p>
            <w:pPr>
              <w:pStyle w:val="Compact"/>
            </w:pPr>
            <w:r>
              <w:t xml:space="preserve">Funkcja „Great Larder” — wspólna skarbonka oszczędnościowa na poziomie gospodarstwa domowego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health.ts</w:t>
            </w:r>
          </w:p>
        </w:tc>
        <w:tc>
          <w:tcPr/>
          <w:p>
            <w:pPr>
              <w:pStyle w:val="Compact"/>
            </w:pPr>
            <w:r>
              <w:t xml:space="preserve">Endpoint liveness/readiness dla kontroli dostępności (uptime)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households.ts</w:t>
            </w:r>
          </w:p>
        </w:tc>
        <w:tc>
          <w:tcPr/>
          <w:p>
            <w:pPr>
              <w:pStyle w:val="Compact"/>
            </w:pPr>
            <w:r>
              <w:t xml:space="preserve">Tworzenie gospodarstw domowych, członkostwo, przekazywanie własności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invites.ts</w:t>
            </w:r>
          </w:p>
        </w:tc>
        <w:tc>
          <w:tcPr/>
          <w:p>
            <w:pPr>
              <w:pStyle w:val="Compact"/>
            </w:pPr>
            <w:r>
              <w:t xml:space="preserve">Wystawianie/akceptowanie zaproszeń do gospodarstwa domowego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larder.ts</w:t>
            </w:r>
          </w:p>
        </w:tc>
        <w:tc>
          <w:tcPr/>
          <w:p>
            <w:pPr>
              <w:pStyle w:val="Compact"/>
            </w:pPr>
            <w:r>
              <w:t xml:space="preserve">Osobista „Skarbonka” (Larder) — wpłaty/wypłaty z indywidualnej skarbonki oszczędnościowej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live-activity.ts</w:t>
            </w:r>
          </w:p>
        </w:tc>
        <w:tc>
          <w:tcPr/>
          <w:p>
            <w:pPr>
              <w:pStyle w:val="Compact"/>
            </w:pPr>
            <w:r>
              <w:t xml:space="preserve">Rejestracja tokenów Live Activity (widżety urządzeń w czasie rzeczywistym)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merchant-categories.ts</w:t>
            </w:r>
          </w:p>
        </w:tc>
        <w:tc>
          <w:tcPr/>
          <w:p>
            <w:pPr>
              <w:pStyle w:val="Compact"/>
            </w:pPr>
            <w:r>
              <w:t xml:space="preserve">Silnik reguł automatycznego przypisywania kategorii na podstawie sprzedawcy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notifications.ts</w:t>
            </w:r>
          </w:p>
        </w:tc>
        <w:tc>
          <w:tcPr/>
          <w:p>
            <w:pPr>
              <w:pStyle w:val="Compact"/>
            </w:pPr>
            <w:r>
              <w:t xml:space="preserve">Kanał centrum powiadomień (lista/oznacz jako przeczytane/odrzuć) oraz ustawienia powiadomień per użytkownik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recurring-payments.ts</w:t>
            </w:r>
          </w:p>
        </w:tc>
        <w:tc>
          <w:tcPr/>
          <w:p>
            <w:pPr>
              <w:pStyle w:val="Compact"/>
            </w:pPr>
            <w:r>
              <w:t xml:space="preserve">CRUD płatności cyklicznych, ręczne „zastosuj teraz” oraz zaplanowane automatyczne stosowanie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splits.ts</w:t>
            </w:r>
          </w:p>
        </w:tc>
        <w:tc>
          <w:tcPr/>
          <w:p>
            <w:pPr>
              <w:pStyle w:val="Compact"/>
            </w:pPr>
            <w:r>
              <w:t xml:space="preserve">Tworzenie i rozliczanie podziału transakcji/wydatków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storage.ts</w:t>
            </w:r>
          </w:p>
        </w:tc>
        <w:tc>
          <w:tcPr/>
          <w:p>
            <w:pPr>
              <w:pStyle w:val="Compact"/>
            </w:pPr>
            <w:r>
              <w:t xml:space="preserve">Uwierzytelniony proxy magazynu obiektowego dla obrazów paragonów (weryfikacja własności przed udostępnieniem)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summary.ts</w:t>
            </w:r>
          </w:p>
        </w:tc>
        <w:tc>
          <w:tcPr/>
          <w:p>
            <w:pPr>
              <w:pStyle w:val="Compact"/>
            </w:pPr>
            <w:r>
              <w:t xml:space="preserve">Zagregowane podsumowania wydatków (rozbicia miesięczne/kategorii) używane w panelach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transactions.ts</w:t>
            </w:r>
          </w:p>
        </w:tc>
        <w:tc>
          <w:tcPr/>
          <w:p>
            <w:pPr>
              <w:pStyle w:val="Compact"/>
            </w:pPr>
            <w:r>
              <w:t xml:space="preserve">Podstawowy CRUD transakcji, filtrowanie oraz endpoint ekstrakcji AI ze zrzutów ekranu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webhook.ts</w:t>
            </w:r>
          </w:p>
        </w:tc>
        <w:tc>
          <w:tcPr/>
          <w:p>
            <w:pPr>
              <w:pStyle w:val="Compact"/>
            </w:pPr>
            <w:r>
              <w:t xml:space="preserve">Obsługa przychodzących webhooków</w:t>
            </w:r>
          </w:p>
        </w:tc>
      </w:tr>
    </w:tbl>
    <w:p>
      <w:pPr>
        <w:pStyle w:val="BodyText"/>
      </w:pPr>
      <w:r>
        <w:t xml:space="preserve">Logika biznesowa, która jest nietrywialna lub współdzielona między trasami, jest wydzielona do pomocników</w:t>
      </w:r>
      <w:r>
        <w:t xml:space="preserve"> </w:t>
      </w:r>
      <w:r>
        <w:rPr>
          <w:rStyle w:val="VerbatimChar"/>
        </w:rPr>
        <w:t xml:space="preserve">src/lib/*.ts</w:t>
      </w:r>
      <w:r>
        <w:t xml:space="preserve">, a nie umieszczana bezpośrednio w handlerach tras — w szczególności</w:t>
      </w:r>
      <w:r>
        <w:t xml:space="preserve"> </w:t>
      </w:r>
      <w:r>
        <w:rPr>
          <w:rStyle w:val="VerbatimChar"/>
        </w:rPr>
        <w:t xml:space="preserve">objectStorage.ts</w:t>
      </w:r>
      <w:r>
        <w:t xml:space="preserve"> </w:t>
      </w:r>
      <w:r>
        <w:t xml:space="preserve">(abstrakcja GCS),</w:t>
      </w:r>
      <w:r>
        <w:t xml:space="preserve"> </w:t>
      </w:r>
      <w:r>
        <w:rPr>
          <w:rStyle w:val="VerbatimChar"/>
        </w:rPr>
        <w:t xml:space="preserve">recurring-helpers.ts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goals-helpers.ts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split-helpers.ts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summary-helpers.ts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budget-sync.ts</w:t>
      </w:r>
      <w:r>
        <w:t xml:space="preserve">. Jest to wzorzec, którego należy przestrzegać dla nowej logiki biznesowej:</w:t>
      </w:r>
      <w:r>
        <w:t xml:space="preserve"> </w:t>
      </w:r>
      <w:r>
        <w:rPr>
          <w:b/>
          <w:bCs/>
        </w:rPr>
        <w:t xml:space="preserve">handlery tras powinny pozostać cienkie</w:t>
      </w:r>
      <w:r>
        <w:t xml:space="preserve"> </w:t>
      </w:r>
      <w:r>
        <w:t xml:space="preserve">(autoryzacja/walidacja/formatowanie odpowiedzi), a obliczenia delegowane do pomocnika w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który można testować jednostkowo niezależnie od warstwy HTTP (patrz §9 — dokładnie tak zorganizowany jest istniejący zestaw testów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).</w:t>
      </w:r>
    </w:p>
    <w:bookmarkEnd w:id="28"/>
    <w:bookmarkStart w:id="29" w:name="walidacja"/>
    <w:p>
      <w:pPr>
        <w:pStyle w:val="Heading2"/>
      </w:pPr>
      <w:r>
        <w:t xml:space="preserve">4.4 Walidacja</w:t>
      </w:r>
    </w:p>
    <w:p>
      <w:pPr>
        <w:pStyle w:val="FirstParagraph"/>
      </w:pPr>
      <w:r>
        <w:t xml:space="preserve">Ciała żądań są walidowane względem schematów Zod zdefiniowanych w</w:t>
      </w:r>
      <w:r>
        <w:t xml:space="preserve"> </w:t>
      </w:r>
      <w:r>
        <w:rPr>
          <w:rStyle w:val="VerbatimChar"/>
        </w:rPr>
        <w:t xml:space="preserve">@workspace/api-zod</w:t>
      </w:r>
      <w:r>
        <w:t xml:space="preserve"> </w:t>
      </w:r>
      <w:r>
        <w:t xml:space="preserve">(pakiet współdzielony, wykorzystywany również do generowania typów frontendowych poprzez</w:t>
      </w:r>
      <w:r>
        <w:t xml:space="preserve"> </w:t>
      </w:r>
      <w:r>
        <w:rPr>
          <w:rStyle w:val="VerbatimChar"/>
        </w:rPr>
        <w:t xml:space="preserve">@workspace/api-client-react</w:t>
      </w:r>
      <w:r>
        <w:t xml:space="preserve">). Nie należy pisać doraźnej walidacji „na kolanie” w handlerach nowych endpointów — należy rozszerzyć współdzielony schemat Zod, aby klient i serwer pozostawały zsynchronizowane automatycznie poprzez wygenerowanego klienta.</w:t>
      </w:r>
    </w:p>
    <w:bookmarkEnd w:id="29"/>
    <w:bookmarkEnd w:id="30"/>
    <w:bookmarkStart w:id="34" w:name="baza-danych"/>
    <w:p>
      <w:pPr>
        <w:pStyle w:val="Heading1"/>
      </w:pPr>
      <w:r>
        <w:t xml:space="preserve">5. Baza danych</w:t>
      </w:r>
    </w:p>
    <w:bookmarkStart w:id="31" w:name="strategia-migracji"/>
    <w:p>
      <w:pPr>
        <w:pStyle w:val="Heading2"/>
      </w:pPr>
      <w:r>
        <w:t xml:space="preserve">5.1 Strategia migracji</w:t>
      </w:r>
    </w:p>
    <w:p>
      <w:pPr>
        <w:pStyle w:val="Compact"/>
        <w:numPr>
          <w:ilvl w:val="0"/>
          <w:numId w:val="1004"/>
        </w:numPr>
      </w:pPr>
      <w:r>
        <w:t xml:space="preserve">ORM: Drizzle ORM, schemat definiowany w</w:t>
      </w:r>
      <w:r>
        <w:t xml:space="preserve"> </w:t>
      </w:r>
      <w:r>
        <w:rPr>
          <w:rStyle w:val="VerbatimChar"/>
        </w:rPr>
        <w:t xml:space="preserve">lib/db/src/schema/*.ts</w:t>
      </w:r>
      <w:r>
        <w:t xml:space="preserve"> </w:t>
      </w:r>
      <w:r>
        <w:t xml:space="preserve">(jeden plik na tabelę/domenę), eksportowany ponownie z</w:t>
      </w:r>
      <w:r>
        <w:t xml:space="preserve"> </w:t>
      </w:r>
      <w:r>
        <w:rPr>
          <w:rStyle w:val="VerbatimChar"/>
        </w:rPr>
        <w:t xml:space="preserve">lib/db/src/schema/index.ts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Migracje są generowane poprzez</w:t>
      </w:r>
      <w:r>
        <w:t xml:space="preserve"> </w:t>
      </w:r>
      <w:r>
        <w:rPr>
          <w:rStyle w:val="VerbatimChar"/>
        </w:rPr>
        <w:t xml:space="preserve">drizzle-kit generate</w:t>
      </w:r>
      <w:r>
        <w:t xml:space="preserve"> </w:t>
      </w:r>
      <w:r>
        <w:t xml:space="preserve">i przechowywane jako pliki SQL w</w:t>
      </w:r>
      <w:r>
        <w:t xml:space="preserve"> </w:t>
      </w:r>
      <w:r>
        <w:rPr>
          <w:rStyle w:val="VerbatimChar"/>
        </w:rPr>
        <w:t xml:space="preserve">lib/db/migrations</w:t>
      </w:r>
      <w:r>
        <w:t xml:space="preserve">; są stosowane przy starcie procesu przez funkcję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z</w:t>
      </w:r>
      <w:r>
        <w:t xml:space="preserve"> </w:t>
      </w:r>
      <w:r>
        <w:rPr>
          <w:rStyle w:val="VerbatimChar"/>
        </w:rPr>
        <w:t xml:space="preserve">drizzle-orm/node-postgres/migrator</w:t>
      </w:r>
      <w:r>
        <w:t xml:space="preserve"> </w:t>
      </w:r>
      <w:r>
        <w:t xml:space="preserve">(patrz §4.1).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Nie używać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drizzle-kit push</w:t>
      </w:r>
      <w:r>
        <w:rPr>
          <w:b/>
          <w:bCs/>
        </w:rPr>
        <w:t xml:space="preserve"> </w:t>
      </w:r>
      <w:r>
        <w:rPr>
          <w:b/>
          <w:bCs/>
        </w:rPr>
        <w:t xml:space="preserve">względem żadnej bazy danych zawierającej rzeczywiste dane użytkowników.</w:t>
      </w:r>
      <w:r>
        <w:t xml:space="preserve"> </w:t>
      </w:r>
      <w:r>
        <w:t xml:space="preserve">Tryb push nie zapisuje do rejestru migracji i doprowadzi do desynchronizacji tabeli śledzącej, od której zależy opisana wyżej logika startowa. Zmiany schematu muszą przechodzić przez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i zatwierdzony (committed) plik migracji, recenzowany jak każda inna zmiana w kodzie.</w:t>
      </w:r>
    </w:p>
    <w:bookmarkEnd w:id="31"/>
    <w:bookmarkStart w:id="32" w:name="przegląd-schematu"/>
    <w:p>
      <w:pPr>
        <w:pStyle w:val="Heading2"/>
      </w:pPr>
      <w:r>
        <w:t xml:space="preserve">5.2 Przegląd schematu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Przeznaczenie</w:t>
            </w:r>
          </w:p>
        </w:tc>
        <w:tc>
          <w:tcPr/>
          <w:p>
            <w:pPr>
              <w:pStyle w:val="Compact"/>
            </w:pPr>
            <w:r>
              <w:t xml:space="preserve">Kluczowe relacje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Rekordy kont — uwierzytelnianie oparte na PIN (</w:t>
            </w:r>
            <w:r>
              <w:rPr>
                <w:rStyle w:val="VerbatimChar"/>
              </w:rPr>
              <w:t xml:space="preserve">passwordHash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pinLength</w:t>
            </w:r>
            <w:r>
              <w:t xml:space="preserve">), tokeny resetu PIN, flagi akceptacji regulaminu/polityki prywatności, znacznik czasu zaplanowanego usunięcia (24h okres karencji), opcjonalny pseudonim asystenta AI (</w:t>
            </w:r>
            <w:r>
              <w:rPr>
                <w:rStyle w:val="VerbatimChar"/>
              </w:rPr>
              <w:t xml:space="preserve">budgerName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Odniesienia z niemal każdej innej tabeli poprzez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households</w:t>
            </w:r>
          </w:p>
        </w:tc>
        <w:tc>
          <w:tcPr/>
          <w:p>
            <w:pPr>
              <w:pStyle w:val="Compact"/>
            </w:pPr>
            <w:r>
              <w:t xml:space="preserve">Wspólna grupa budżetowa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ownerId → users.id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onDelete: restrict</w:t>
            </w:r>
            <w:r>
              <w:t xml:space="preserve"> </w:t>
            </w:r>
            <w:r>
              <w:t xml:space="preserve">— właściciel nie może zostać usunięty, gdy posiada gospodarstwo domowe)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household_members</w:t>
            </w:r>
          </w:p>
        </w:tc>
        <w:tc>
          <w:tcPr/>
          <w:p>
            <w:pPr>
              <w:pStyle w:val="Compact"/>
            </w:pPr>
            <w:r>
              <w:t xml:space="preserve">Tabela łącząca członkostwo w gospodarstwie domowym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 → users.id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householdId → households.id</w:t>
            </w:r>
            <w:r>
              <w:t xml:space="preserve">, obie kaskadowe; przechowuje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oraz kolor UI przypisany członkowi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Kategorie wydatków</w:t>
            </w:r>
          </w:p>
        </w:tc>
        <w:tc>
          <w:tcPr/>
          <w:p>
            <w:pPr>
              <w:pStyle w:val="Compact"/>
            </w:pPr>
            <w:r>
              <w:t xml:space="preserve">Ograniczone do użytkownika/gospodarstwa domowego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category_share_proposals</w:t>
            </w:r>
          </w:p>
        </w:tc>
        <w:tc>
          <w:tcPr/>
          <w:p>
            <w:pPr>
              <w:pStyle w:val="Compact"/>
            </w:pPr>
            <w:r>
              <w:t xml:space="preserve">Oczekujące propozycje współdzielenia kategorii w gospodarstwie domowym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Podstawowe wpisy księgi finansowej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 → users.id</w:t>
            </w:r>
            <w:r>
              <w:t xml:space="preserve"> </w:t>
            </w:r>
            <w:r>
              <w:t xml:space="preserve">(kaskadowo),</w:t>
            </w:r>
            <w:r>
              <w:t xml:space="preserve"> </w:t>
            </w:r>
            <w:r>
              <w:rPr>
                <w:rStyle w:val="VerbatimChar"/>
              </w:rPr>
              <w:t xml:space="preserve">householdId → households.id</w:t>
            </w:r>
            <w:r>
              <w:t xml:space="preserve"> </w:t>
            </w:r>
            <w:r>
              <w:t xml:space="preserve">(ustaw null),</w:t>
            </w:r>
            <w:r>
              <w:t xml:space="preserve"> </w:t>
            </w:r>
            <w:r>
              <w:rPr>
                <w:rStyle w:val="VerbatimChar"/>
              </w:rPr>
              <w:t xml:space="preserve">categoryId → categories.id</w:t>
            </w:r>
            <w:r>
              <w:t xml:space="preserve"> </w:t>
            </w:r>
            <w:r>
              <w:t xml:space="preserve">(ustaw null),</w:t>
            </w:r>
            <w:r>
              <w:t xml:space="preserve"> </w:t>
            </w:r>
            <w:r>
              <w:rPr>
                <w:rStyle w:val="VerbatimChar"/>
              </w:rPr>
              <w:t xml:space="preserve">recurringPaymentId → recurring_payments.id</w:t>
            </w:r>
            <w:r>
              <w:t xml:space="preserve"> </w:t>
            </w:r>
            <w:r>
              <w:t xml:space="preserve">(ustaw null); indeksowane po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householdId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expense_splits</w:t>
            </w:r>
          </w:p>
        </w:tc>
        <w:tc>
          <w:tcPr/>
          <w:p>
            <w:pPr>
              <w:pStyle w:val="Compact"/>
            </w:pPr>
            <w:r>
              <w:t xml:space="preserve">Metadane podziału transakcji</w:t>
            </w:r>
          </w:p>
        </w:tc>
        <w:tc>
          <w:tcPr/>
          <w:p>
            <w:pPr>
              <w:pStyle w:val="Compact"/>
            </w:pPr>
            <w:r>
              <w:t xml:space="preserve">Powiązana z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rPr>
                <w:b/>
                <w:bCs/>
              </w:rPr>
              <w:t xml:space="preserve">bez klucza obcego na poziomie bazy danych</w:t>
            </w:r>
            <w:r>
              <w:t xml:space="preserve"> </w:t>
            </w:r>
            <w:r>
              <w:t xml:space="preserve">— powód i implikacje dla integralności na poziomie aplikacji opisano w 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recurring_payments</w:t>
            </w:r>
          </w:p>
        </w:tc>
        <w:tc>
          <w:tcPr/>
          <w:p>
            <w:pPr>
              <w:pStyle w:val="Compact"/>
            </w:pPr>
            <w:r>
              <w:t xml:space="preserve">Definicje płatności cyklicznych (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lub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, z opcjonalnym</w:t>
            </w:r>
            <w:r>
              <w:t xml:space="preserve"> </w:t>
            </w:r>
            <w:r>
              <w:rPr>
                <w:rStyle w:val="VerbatimChar"/>
              </w:rPr>
              <w:t xml:space="preserve">dayOfMonth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addToLarder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householdId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recurring_payment_logs</w:t>
            </w:r>
          </w:p>
        </w:tc>
        <w:tc>
          <w:tcPr/>
          <w:p>
            <w:pPr>
              <w:pStyle w:val="Compact"/>
            </w:pPr>
            <w:r>
              <w:t xml:space="preserve">Rejestr idempotencji — jeden wiersz na</w:t>
            </w:r>
            <w:r>
              <w:t xml:space="preserve"> </w:t>
            </w:r>
            <w:r>
              <w:rPr>
                <w:rStyle w:val="VerbatimChar"/>
              </w:rPr>
              <w:t xml:space="preserve">(recurringPaymentId, userId, monthKey)</w:t>
            </w:r>
          </w:p>
        </w:tc>
        <w:tc>
          <w:tcPr/>
          <w:p>
            <w:pPr>
              <w:pStyle w:val="Compact"/>
            </w:pPr>
            <w:r>
              <w:t xml:space="preserve">Unikalny indeks wymusza „zastosowano co najwyżej raz w miesiącu” — patrz 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Definicje celów oszczędnościowych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goal_activity</w:t>
            </w:r>
          </w:p>
        </w:tc>
        <w:tc>
          <w:tcPr/>
          <w:p>
            <w:pPr>
              <w:pStyle w:val="Compact"/>
            </w:pPr>
            <w:r>
              <w:t xml:space="preserve">Kanał zdarzeń związanych z celami (realizacja, ukończenie miesięczne)</w:t>
            </w:r>
          </w:p>
        </w:tc>
        <w:tc>
          <w:tcPr/>
          <w:p>
            <w:pPr>
              <w:pStyle w:val="Compact"/>
            </w:pPr>
            <w:r>
              <w:t xml:space="preserve">Częściowe unikalne indeksy zapobiegają duplikatom zdarzeń</w:t>
            </w:r>
            <w:r>
              <w:t xml:space="preserve"> </w:t>
            </w:r>
            <w:r>
              <w:rPr>
                <w:rStyle w:val="VerbatimChar"/>
              </w:rPr>
              <w:t xml:space="preserve">goal_realized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goal_completed_monthly</w:t>
            </w:r>
            <w:r>
              <w:t xml:space="preserve"> </w:t>
            </w:r>
            <w:r>
              <w:t xml:space="preserve">dla</w:t>
            </w:r>
            <w:r>
              <w:t xml:space="preserve"> </w:t>
            </w:r>
            <w:r>
              <w:rPr>
                <w:rStyle w:val="VerbatimChar"/>
              </w:rPr>
              <w:t xml:space="preserve">(user, goal[, month])</w:t>
            </w:r>
            <w:r>
              <w:t xml:space="preserve"> </w:t>
            </w:r>
            <w:r>
              <w:t xml:space="preserve">— patrz §6.5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goal_contributions</w:t>
            </w:r>
          </w:p>
        </w:tc>
        <w:tc>
          <w:tcPr/>
          <w:p>
            <w:pPr>
              <w:pStyle w:val="Compact"/>
            </w:pPr>
            <w:r>
              <w:t xml:space="preserve">Rekordy poszczególnych wpłat na 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goal_proposals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goal_edit_proposals</w:t>
            </w:r>
          </w:p>
        </w:tc>
        <w:tc>
          <w:tcPr/>
          <w:p>
            <w:pPr>
              <w:pStyle w:val="Compact"/>
            </w:pPr>
            <w:r>
              <w:t xml:space="preserve">Propozycje utworzenia/edycji współdzielonego celu domowego oczekujące zatwierdzenia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larder_entries</w:t>
            </w:r>
          </w:p>
        </w:tc>
        <w:tc>
          <w:tcPr/>
          <w:p>
            <w:pPr>
              <w:pStyle w:val="Compact"/>
            </w:pPr>
            <w:r>
              <w:t xml:space="preserve">Rejestr osobistej skarbonki oszczędnościowej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great_larder_entries</w:t>
            </w:r>
          </w:p>
        </w:tc>
        <w:tc>
          <w:tcPr/>
          <w:p>
            <w:pPr>
              <w:pStyle w:val="Compact"/>
            </w:pPr>
            <w:r>
              <w:t xml:space="preserve">Rejestr wspólnej skarbonki oszczędnościowej gospodarstwa domowego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notification_settings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notification_items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Ustawienia przypomnień per użytkownik oraz kanał powiadomień przechowywany w bazie danych (dwujęzyczne pola tytuł/treść, idempotentne wstawianie oparte na</w:t>
            </w:r>
            <w:r>
              <w:t xml:space="preserve"> </w:t>
            </w:r>
            <w:r>
              <w:rPr>
                <w:rStyle w:val="VerbatimChar"/>
              </w:rPr>
              <w:t xml:space="preserve">dedupKey</w:t>
            </w:r>
            <w:r>
              <w:t xml:space="preserve">, miękkie usuwanie poprzez</w:t>
            </w:r>
            <w:r>
              <w:t xml:space="preserve"> </w:t>
            </w:r>
            <w:r>
              <w:rPr>
                <w:rStyle w:val="VerbatimChar"/>
              </w:rPr>
              <w:t xml:space="preserve">dismissed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merchant_category_rules</w:t>
            </w:r>
          </w:p>
        </w:tc>
        <w:tc>
          <w:tcPr/>
          <w:p>
            <w:pPr>
              <w:pStyle w:val="Compact"/>
            </w:pPr>
            <w:r>
              <w:t xml:space="preserve">Reguły automatycznej kategoryzacji (ciąg znaków sprzedawcy → kategoria)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push_subscriptions</w:t>
            </w:r>
          </w:p>
        </w:tc>
        <w:tc>
          <w:tcPr/>
          <w:p>
            <w:pPr>
              <w:pStyle w:val="Compact"/>
            </w:pPr>
            <w:r>
              <w:t xml:space="preserve">Punkty końcowe subskrypcji Web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live_activity_tokens</w:t>
            </w:r>
          </w:p>
        </w:tc>
        <w:tc>
          <w:tcPr/>
          <w:p>
            <w:pPr>
              <w:pStyle w:val="Compact"/>
            </w:pPr>
            <w:r>
              <w:t xml:space="preserve">Tokeny urządzeń dla widżetów Live Activity w czasie rzeczywistym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invites</w:t>
            </w:r>
          </w:p>
        </w:tc>
        <w:tc>
          <w:tcPr/>
          <w:p>
            <w:pPr>
              <w:pStyle w:val="Compact"/>
            </w:pPr>
            <w:r>
              <w:t xml:space="preserve">Tokeny zaproszeń do gospodarstwa domowego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householdId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transactions.amount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.preSplitAmount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.larderAmount</w:t>
      </w:r>
      <w:r>
        <w:t xml:space="preserve"> </w:t>
      </w:r>
      <w:r>
        <w:t xml:space="preserve">oraz wszystkie inne kolumny pieniężne są typu</w:t>
      </w:r>
      <w:r>
        <w:t xml:space="preserve"> </w:t>
      </w:r>
      <w:r>
        <w:rPr>
          <w:rStyle w:val="VerbatimChar"/>
        </w:rPr>
        <w:t xml:space="preserve">numeric(12, 2)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nigdy zmiennoprzecinkowego</w:t>
      </w:r>
      <w:r>
        <w:t xml:space="preserve"> </w:t>
      </w:r>
      <w:r>
        <w:t xml:space="preserve">— aby uniknąć błędów zaokrągleń w obliczeniach finansowych. Konwencję tę należy zachować dla każdej nowej kolumny pieniężnej.</w:t>
      </w:r>
    </w:p>
    <w:bookmarkEnd w:id="32"/>
    <w:bookmarkStart w:id="33" w:name="Xee59dbaaad6f83792071dea996cbb4dee60a345"/>
    <w:p>
      <w:pPr>
        <w:pStyle w:val="Heading2"/>
      </w:pPr>
      <w:r>
        <w:t xml:space="preserve">5.3 Pola wielowalutowe i podziału w tabeli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zawiera kilka pól wartych jawnego omówienia, ponieważ kodują nietrywialne reguły produktowe bezpośrednio w schemacie: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transactionCurrency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currencyLocked</w:t>
      </w:r>
      <w:r>
        <w:t xml:space="preserve"> </w:t>
      </w:r>
      <w:r>
        <w:t xml:space="preserve">— transakcja może zostać zarejestrowana w walucie innej niż waluta bazowa konta; gdy</w:t>
      </w:r>
      <w:r>
        <w:t xml:space="preserve"> </w:t>
      </w:r>
      <w:r>
        <w:rPr>
          <w:rStyle w:val="VerbatimChar"/>
        </w:rPr>
        <w:t xml:space="preserve">currencyLocked</w:t>
      </w:r>
      <w:r>
        <w:t xml:space="preserve"> </w:t>
      </w:r>
      <w:r>
        <w:t xml:space="preserve">ma wartość true, zadania masowej konwersji walut muszą trwale pomijać dany wiersz.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currencyUnavailable</w:t>
      </w:r>
      <w:r>
        <w:t xml:space="preserve"> </w:t>
      </w:r>
      <w:r>
        <w:t xml:space="preserve">— ustawiane, gdy waluta transakcji nie jest obsługiwana przez aplikację do konwersji; takie wiersze pozostają widoczne na listach, ale</w:t>
      </w:r>
      <w:r>
        <w:t xml:space="preserve"> </w:t>
      </w:r>
      <w:r>
        <w:rPr>
          <w:b/>
          <w:bCs/>
        </w:rPr>
        <w:t xml:space="preserve">muszą być wykluczone ze wszystkich sum/agregacji podsumowań</w:t>
      </w:r>
      <w:r>
        <w:t xml:space="preserve"> </w:t>
      </w:r>
      <w:r>
        <w:t xml:space="preserve">(egzekwowane w</w:t>
      </w:r>
      <w:r>
        <w:t xml:space="preserve"> </w:t>
      </w:r>
      <w:r>
        <w:rPr>
          <w:rStyle w:val="VerbatimChar"/>
        </w:rPr>
        <w:t xml:space="preserve">summary-helpers.ts</w:t>
      </w:r>
      <w:r>
        <w:t xml:space="preserve"> </w:t>
      </w:r>
      <w:r>
        <w:t xml:space="preserve">— każdy nowy endpoint podsumowujący musi replikować ten filtr).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splitId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'issuer' | 'recipient'</w:t>
      </w:r>
      <w:r>
        <w:t xml:space="preserve">) /</w:t>
      </w:r>
      <w:r>
        <w:t xml:space="preserve"> </w:t>
      </w:r>
      <w:r>
        <w:rPr>
          <w:rStyle w:val="VerbatimChar"/>
        </w:rPr>
        <w:t xml:space="preserve">preSplitAmount</w:t>
      </w:r>
      <w:r>
        <w:t xml:space="preserve"> </w:t>
      </w:r>
      <w:r>
        <w:t xml:space="preserve">— patrz §6.2.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foundedWithRealizedGoal</w:t>
      </w:r>
      <w:r>
        <w:t xml:space="preserve"> </w:t>
      </w:r>
      <w:r>
        <w:t xml:space="preserve">— oznacza wydatek jako sfinansowany z już zrealizowanego celu oszczędnościowego; wykluczone z miesięcznych sum wydatków, ponieważ reprezentuje wydawanie oszczędności, a nie nowy zaplanowany wydatek.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isLarderFund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larderAmount</w:t>
      </w:r>
      <w:r>
        <w:t xml:space="preserve"> </w:t>
      </w:r>
      <w:r>
        <w:t xml:space="preserve">— oznacza transakcję utworzoną poprzez proces „zasilenia” Skarbonki (Larder).</w:t>
      </w:r>
    </w:p>
    <w:p>
      <w:pPr>
        <w:pStyle w:val="FirstParagraph"/>
      </w:pPr>
      <w:r>
        <w:t xml:space="preserve">Każdy nowy endpoint raportowy/podsumowujący dotykający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musi uwzględniać filtry</w:t>
      </w:r>
      <w:r>
        <w:t xml:space="preserve"> </w:t>
      </w:r>
      <w:r>
        <w:rPr>
          <w:rStyle w:val="VerbatimChar"/>
        </w:rPr>
        <w:t xml:space="preserve">currencyUnavailable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foundedWithRealizedGoal</w:t>
      </w:r>
      <w:r>
        <w:t xml:space="preserve">, w przeciwnym razie sumy w cichy sposób podwoją liczenie lub uwzględnią nieporównywalne wartości walutowe.</w:t>
      </w:r>
    </w:p>
    <w:bookmarkEnd w:id="33"/>
    <w:bookmarkEnd w:id="34"/>
    <w:bookmarkStart w:id="43" w:name="Xc0524c3e7f1e4e47c1f4c69b47ecfb6bde0a866"/>
    <w:p>
      <w:pPr>
        <w:pStyle w:val="Heading1"/>
      </w:pPr>
      <w:r>
        <w:t xml:space="preserve">6. Uwagi implementacyjne dla poszczególnych funkcjonalności</w:t>
      </w:r>
    </w:p>
    <w:bookmarkStart w:id="35" w:name="wielowalutowość"/>
    <w:p>
      <w:pPr>
        <w:pStyle w:val="Heading2"/>
      </w:pPr>
      <w:r>
        <w:t xml:space="preserve">6.1 Wielowalutowość</w:t>
      </w:r>
    </w:p>
    <w:p>
      <w:pPr>
        <w:pStyle w:val="FirstParagraph"/>
      </w:pPr>
      <w:r>
        <w:t xml:space="preserve">Transakcje mogą być rejestrowane w walucie innej niż waluta bazowa gospodarstwa domowego/konta. Kursy wymiany są udostępniane poprzez</w:t>
      </w:r>
      <w:r>
        <w:t xml:space="preserve"> </w:t>
      </w:r>
      <w:r>
        <w:rPr>
          <w:rStyle w:val="VerbatimChar"/>
        </w:rPr>
        <w:t xml:space="preserve">routes/currencies.ts</w:t>
      </w:r>
      <w:r>
        <w:t xml:space="preserve">. Transakcje z</w:t>
      </w:r>
      <w:r>
        <w:t xml:space="preserve"> </w:t>
      </w:r>
      <w:r>
        <w:rPr>
          <w:rStyle w:val="VerbatimChar"/>
        </w:rPr>
        <w:t xml:space="preserve">currencyLocked</w:t>
      </w:r>
      <w:r>
        <w:t xml:space="preserve"> </w:t>
      </w:r>
      <w:r>
        <w:t xml:space="preserve">są trwale wykluczone z każdej masowej operacji ponownej konwersji (np. zmiana waluty bazowej) — jest to celowe, aby historyczny zapis użytkownika „ile faktycznie zapłaciłem w tej walucie” nigdy nie został po cichu nadpisany.</w:t>
      </w:r>
    </w:p>
    <w:bookmarkEnd w:id="35"/>
    <w:bookmarkStart w:id="36" w:name="podział-transakcji-split"/>
    <w:p>
      <w:pPr>
        <w:pStyle w:val="Heading2"/>
      </w:pPr>
      <w:r>
        <w:t xml:space="preserve">6.2 Podział transakcji (Split)</w:t>
      </w:r>
    </w:p>
    <w:p>
      <w:pPr>
        <w:pStyle w:val="FirstParagraph"/>
      </w:pPr>
      <w:r>
        <w:t xml:space="preserve">Podział tworzy dwa powiązane wiersze w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współdzielące</w:t>
      </w:r>
      <w:r>
        <w:t xml:space="preserve"> </w:t>
      </w:r>
      <w:r>
        <w:rPr>
          <w:rStyle w:val="VerbatimChar"/>
        </w:rPr>
        <w:t xml:space="preserve">splitId</w:t>
      </w:r>
      <w:r>
        <w:t xml:space="preserve">: jeden z</w:t>
      </w:r>
      <w:r>
        <w:t xml:space="preserve"> </w:t>
      </w:r>
      <w:r>
        <w:rPr>
          <w:rStyle w:val="VerbatimChar"/>
        </w:rPr>
        <w:t xml:space="preserve">splitRole = 'issuer'</w:t>
      </w:r>
      <w:r>
        <w:t xml:space="preserve"> </w:t>
      </w:r>
      <w:r>
        <w:t xml:space="preserve">(pierwotny płatnik, którego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jest pomniejszane o udział podziału, a kwota sprzed podziału jest zachowywana w</w:t>
      </w:r>
      <w:r>
        <w:t xml:space="preserve"> </w:t>
      </w:r>
      <w:r>
        <w:rPr>
          <w:rStyle w:val="VerbatimChar"/>
        </w:rPr>
        <w:t xml:space="preserve">preSplitAmount</w:t>
      </w:r>
      <w:r>
        <w:t xml:space="preserve">) oraz jeden z</w:t>
      </w:r>
      <w:r>
        <w:t xml:space="preserve"> </w:t>
      </w:r>
      <w:r>
        <w:rPr>
          <w:rStyle w:val="VerbatimChar"/>
        </w:rPr>
        <w:t xml:space="preserve">splitRole = 'recipient'</w:t>
      </w:r>
      <w:r>
        <w:t xml:space="preserve"> </w:t>
      </w:r>
      <w:r>
        <w:t xml:space="preserve">(obciążony udział drugiej strony).</w:t>
      </w:r>
      <w:r>
        <w:t xml:space="preserve"> </w:t>
      </w:r>
      <w:r>
        <w:rPr>
          <w:b/>
          <w:bCs/>
        </w:rPr>
        <w:t xml:space="preserve">Celowo nie istnieje klucz obcy z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transactions.splitId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expense_splits.id</w:t>
      </w:r>
      <w:r>
        <w:t xml:space="preserve"> </w:t>
      </w:r>
      <w:r>
        <w:t xml:space="preserve">— obie tabele mają wzajemne/cykliczne odniesienie w modelu domenowym, więc integralność referencyjna tej relacji jest egzekwowana wyłącznie na poziomie aplikacji, wewnątrz</w:t>
      </w:r>
      <w:r>
        <w:t xml:space="preserve"> </w:t>
      </w:r>
      <w:r>
        <w:rPr>
          <w:rStyle w:val="VerbatimChar"/>
        </w:rPr>
        <w:t xml:space="preserve">split-helpers.ts</w:t>
      </w:r>
      <w:r>
        <w:t xml:space="preserve">. Każdy kod tworzący, edytujący lub usuwający podział musi przechodzić przez te pomocniki, a nie zapisywać bezpośrednio do żadnej z tabel, w przeciwnym razie obie strony mogą się rozsynchronizować bez żadnego ograniczenia na poziomie bazy danych, które by to wychwyciło. Podczas konwersji walut</w:t>
      </w:r>
      <w:r>
        <w:t xml:space="preserve"> </w:t>
      </w:r>
      <w:r>
        <w:rPr>
          <w:rStyle w:val="VerbatimChar"/>
        </w:rPr>
        <w:t xml:space="preserve">preSplitAmount</w:t>
      </w:r>
      <w:r>
        <w:t xml:space="preserve"> </w:t>
      </w:r>
      <w:r>
        <w:t xml:space="preserve">musi być utrzymywane w zgodzie z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w wierszach typu issuer, aby nadal poprawnie odzwierciedlało walutę użytkownika.</w:t>
      </w:r>
    </w:p>
    <w:bookmarkEnd w:id="36"/>
    <w:bookmarkStart w:id="37" w:name="X2e83c7d4da2e0644ffaaaa31e5e415f7e3c5005"/>
    <w:p>
      <w:pPr>
        <w:pStyle w:val="Heading2"/>
      </w:pPr>
      <w:r>
        <w:t xml:space="preserve">6.3 Larder i Great Larder (Skarbonka i Wspólna Skarbonka)</w:t>
      </w:r>
    </w:p>
    <w:p>
      <w:pPr>
        <w:pStyle w:val="FirstParagraph"/>
      </w:pPr>
      <w:r>
        <w:t xml:space="preserve">„Larder” (osobista) i „Great Larder” (wspólna, na poziomie gospodarstwa domowego) to skarbonki oszczędnościowe rządzące się konkretną regułą produktową, którą przejmujący zespół musi zachować:</w:t>
      </w:r>
      <w:r>
        <w:t xml:space="preserve"> </w:t>
      </w:r>
      <w:r>
        <w:rPr>
          <w:b/>
          <w:bCs/>
        </w:rPr>
        <w:t xml:space="preserve">zasilanie lub wydatkowanie ze Skarbonki nie tworzy ani nie modyfikuje powiązania z żadnym wierszem transakcji.</w:t>
      </w:r>
      <w:r>
        <w:t xml:space="preserve"> </w:t>
      </w:r>
      <w:r>
        <w:t xml:space="preserve">Jest to celowo niezależna księgowość. Bezpośrednia konsekwencja: usunięcie transakcji, która pierwotnie zasiliła wpis Skarbonki,</w:t>
      </w:r>
      <w:r>
        <w:t xml:space="preserve"> </w:t>
      </w:r>
      <w:r>
        <w:rPr>
          <w:b/>
          <w:bCs/>
        </w:rPr>
        <w:t xml:space="preserve">nigdy</w:t>
      </w:r>
      <w:r>
        <w:t xml:space="preserve"> </w:t>
      </w:r>
      <w:r>
        <w:t xml:space="preserve">nie może kaskadowo cofać ani korygować salda Skarbonki. Jeśli przyszła funkcjonalność będzie wymagała powiązania tych dwóch elementów, musi to być jawne, dodatkowe powiązanie — a nie dostosowanie istniejących tabel poprzez kaskadowe usuwanie.</w:t>
      </w:r>
    </w:p>
    <w:bookmarkEnd w:id="37"/>
    <w:bookmarkStart w:id="38" w:name="płatności-cykliczne"/>
    <w:p>
      <w:pPr>
        <w:pStyle w:val="Heading2"/>
      </w:pPr>
      <w:r>
        <w:t xml:space="preserve">6.4 Płatności cykliczne</w:t>
      </w:r>
    </w:p>
    <w:p>
      <w:pPr>
        <w:pStyle w:val="FirstParagraph"/>
      </w:pPr>
      <w:r>
        <w:t xml:space="preserve">Płatności cykliczne (</w:t>
      </w:r>
      <w:r>
        <w:rPr>
          <w:rStyle w:val="VerbatimChar"/>
        </w:rPr>
        <w:t xml:space="preserve">recurring_payments</w:t>
      </w:r>
      <w:r>
        <w:t xml:space="preserve">) obsługują dwa tryby: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(użytkownik uruchamia „zastosuj” na żądanie) oraz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(automatyczne zastosowanie w dniu</w:t>
      </w:r>
      <w:r>
        <w:t xml:space="preserve"> </w:t>
      </w:r>
      <w:r>
        <w:rPr>
          <w:rStyle w:val="VerbatimChar"/>
        </w:rPr>
        <w:t xml:space="preserve">dayOfMonth</w:t>
      </w:r>
      <w:r>
        <w:t xml:space="preserve">). Każde skuteczne zastosowanie — ręczne lub zaplanowane — zapisuje wiersz do</w:t>
      </w:r>
      <w:r>
        <w:t xml:space="preserve"> </w:t>
      </w:r>
      <w:r>
        <w:rPr>
          <w:rStyle w:val="VerbatimChar"/>
        </w:rPr>
        <w:t xml:space="preserve">recurring_payment_logs</w:t>
      </w:r>
      <w:r>
        <w:t xml:space="preserve">, która posiada</w:t>
      </w:r>
      <w:r>
        <w:t xml:space="preserve"> </w:t>
      </w:r>
      <w:r>
        <w:rPr>
          <w:b/>
          <w:bCs/>
        </w:rPr>
        <w:t xml:space="preserve">unikalny indeks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(recurringPaymentId, userId, monthKey)</w:t>
      </w:r>
      <w:r>
        <w:t xml:space="preserve">. Jest to jedyna gwarancja idempotencji zapobiegająca podwójnemu zastosowaniu tej samej płatności cyklicznej w tym samym miesiącu (np. ponowne uruchomienie zadania cron, powtórzone żądanie lub podwójne kliknięcie „zastosuj teraz” przez użytkownika). Każda zmiana w zadaniu automatycznego stosowania musi wstawiać dane do tej tabeli z wykorzystaniem wzorca idempotentnego (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lub równoważnej wstępnej weryfikacji) w ramach tej samej transakcji bazodanowej, która tworzy wynikowy wiersz w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 aby częściowa awaria nie mogła utworzyć transakcji bez odpowiadającego jej wpisu w rejestrze (lub odwrotnie).</w:t>
      </w:r>
    </w:p>
    <w:bookmarkEnd w:id="38"/>
    <w:bookmarkStart w:id="39" w:name="X2c71bb7340e0bc6a2f1ba7d0934f8c14e52b39e"/>
    <w:p>
      <w:pPr>
        <w:pStyle w:val="Heading2"/>
      </w:pPr>
      <w:r>
        <w:t xml:space="preserve">6.5 Cele oszczędnościowe i wyścig przy realizacji (race condition)</w:t>
      </w:r>
    </w:p>
    <w:p>
      <w:pPr>
        <w:pStyle w:val="FirstParagraph"/>
      </w:pPr>
      <w:r>
        <w:t xml:space="preserve">Logika wpłat na cele i „realizacji” (osiągnięcie przez cel docelowej kwoty i oznaczenie jako w pełni sfinansowany) znajduje się w</w:t>
      </w:r>
      <w:r>
        <w:t xml:space="preserve"> </w:t>
      </w:r>
      <w:r>
        <w:rPr>
          <w:rStyle w:val="VerbatimChar"/>
        </w:rPr>
        <w:t xml:space="preserve">goals-helpers.ts</w:t>
      </w:r>
      <w:r>
        <w:t xml:space="preserve">. Dwa częściowe unikalne indeksy na</w:t>
      </w:r>
      <w:r>
        <w:t xml:space="preserve"> </w:t>
      </w:r>
      <w:r>
        <w:rPr>
          <w:rStyle w:val="VerbatimChar"/>
        </w:rPr>
        <w:t xml:space="preserve">goal_activity</w:t>
      </w:r>
      <w:r>
        <w:t xml:space="preserve"> </w:t>
      </w:r>
      <w:r>
        <w:t xml:space="preserve">zapobiegają duplikatom zdarzeń w kanale przy równoległych żądaniach: jeden blokuje drugie zdarzenie</w:t>
      </w:r>
      <w:r>
        <w:t xml:space="preserve"> </w:t>
      </w:r>
      <w:r>
        <w:rPr>
          <w:rStyle w:val="VerbatimChar"/>
        </w:rPr>
        <w:t xml:space="preserve">goal_realized</w:t>
      </w:r>
      <w:r>
        <w:t xml:space="preserve"> </w:t>
      </w:r>
      <w:r>
        <w:t xml:space="preserve">dla tej samej pary</w:t>
      </w:r>
      <w:r>
        <w:t xml:space="preserve"> </w:t>
      </w:r>
      <w:r>
        <w:rPr>
          <w:rStyle w:val="VerbatimChar"/>
        </w:rPr>
        <w:t xml:space="preserve">(user, goal)</w:t>
      </w:r>
      <w:r>
        <w:t xml:space="preserve">, drugi blokuje zdublowane zdarzenie</w:t>
      </w:r>
      <w:r>
        <w:t xml:space="preserve"> </w:t>
      </w:r>
      <w:r>
        <w:rPr>
          <w:rStyle w:val="VerbatimChar"/>
        </w:rPr>
        <w:t xml:space="preserve">goal_completed_monthly</w:t>
      </w:r>
      <w:r>
        <w:t xml:space="preserve"> </w:t>
      </w:r>
      <w:r>
        <w:t xml:space="preserve">dla tej samej trójki</w:t>
      </w:r>
      <w:r>
        <w:t xml:space="preserve"> </w:t>
      </w:r>
      <w:r>
        <w:rPr>
          <w:rStyle w:val="VerbatimChar"/>
        </w:rPr>
        <w:t xml:space="preserve">(user, goal, month)</w:t>
      </w:r>
      <w:r>
        <w:t xml:space="preserve">. Sama aktualizacja realizacji jest wykonywana jako</w:t>
      </w:r>
      <w:r>
        <w:t xml:space="preserve"> </w:t>
      </w:r>
      <w:r>
        <w:rPr>
          <w:rStyle w:val="VerbatimChar"/>
        </w:rPr>
        <w:t xml:space="preserve">UPDATE ... WHERE realizedAt IS NULL</w:t>
      </w:r>
      <w:r>
        <w:t xml:space="preserve"> </w:t>
      </w:r>
      <w:r>
        <w:t xml:space="preserve">wewnątrz transakcji, a odpowiedź na pytanie „czy to właśnie ta wpłata zrealizowała cel” jest wyprowadzana z tego, czy dany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faktycznie zmodyfikował wiersz (poprzez</w:t>
      </w:r>
      <w:r>
        <w:t xml:space="preserve"> </w:t>
      </w:r>
      <w:r>
        <w:rPr>
          <w:rStyle w:val="VerbatimChar"/>
        </w:rPr>
        <w:t xml:space="preserve">RETURNING</w:t>
      </w:r>
      <w:r>
        <w:t xml:space="preserve">),</w:t>
      </w:r>
      <w:r>
        <w:t xml:space="preserve"> </w:t>
      </w:r>
      <w:r>
        <w:rPr>
          <w:b/>
          <w:bCs/>
        </w:rPr>
        <w:t xml:space="preserve">a nie</w:t>
      </w:r>
      <w:r>
        <w:t xml:space="preserve"> </w:t>
      </w:r>
      <w:r>
        <w:t xml:space="preserve">z wcześniej wczytanego zrzutu stanu celu w pamięci — to drugie podejście podlega wyścigowi typu TOCTOU przy równoległych wpłatach i było pierwotną przyczyną błędu podwójnej realizacji naprawionego przed niniejszym przekazaniem projektu. Ten wzorzec należy zachować dla każdej przyszłej logiki wymagającej semantyki „czy to ja wygrałem wyścig o wywołanie zdarzenia X”.</w:t>
      </w:r>
    </w:p>
    <w:bookmarkEnd w:id="39"/>
    <w:bookmarkStart w:id="40" w:name="powiadomienia"/>
    <w:p>
      <w:pPr>
        <w:pStyle w:val="Heading2"/>
      </w:pPr>
      <w:r>
        <w:t xml:space="preserve">6.6 Powiadomienia</w:t>
      </w:r>
    </w:p>
    <w:p>
      <w:pPr>
        <w:pStyle w:val="FirstParagraph"/>
      </w:pPr>
      <w:r>
        <w:rPr>
          <w:rStyle w:val="VerbatimChar"/>
        </w:rPr>
        <w:t xml:space="preserve">notification_items</w:t>
      </w:r>
      <w:r>
        <w:t xml:space="preserve"> </w:t>
      </w:r>
      <w:r>
        <w:t xml:space="preserve">jest magazynem danych dla centrum powiadomień w aplikacji — celowo po stronie serwera (nie w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), aby stan przeczytania/odrzucenia przetrwał odświeżenia strony, nowe urządzenia oraz kopie projektu Replit typu „remix” (które resetują pamięć po stronie klienta, ale nie bazę danych). Wiersze przechowują zarówno angielski, jak i polski tekst tytułu/treści (</w:t>
      </w:r>
      <w:r>
        <w:rPr>
          <w:rStyle w:val="VerbatimChar"/>
        </w:rPr>
        <w:t xml:space="preserve">titleEn</w:t>
      </w:r>
      <w:r>
        <w:t xml:space="preserve">/</w:t>
      </w:r>
      <w:r>
        <w:rPr>
          <w:rStyle w:val="VerbatimChar"/>
        </w:rPr>
        <w:t xml:space="preserve">titlePl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bodyEn</w:t>
      </w:r>
      <w:r>
        <w:t xml:space="preserve">/</w:t>
      </w:r>
      <w:r>
        <w:rPr>
          <w:rStyle w:val="VerbatimChar"/>
        </w:rPr>
        <w:t xml:space="preserve">bodyPl</w:t>
      </w:r>
      <w:r>
        <w:t xml:space="preserve">), zamiast pośredniego mechanizmu klucz-tłumaczenia (i18n) — jeśli zostanie dodany trzeci język, ten schemat będzie wymagał rewizji (albo dodanie kolejnych kolumn dla języków, albo migracja do właściwej tabeli klucz/wartość i18n). Idempotentne tworzenie odbywa się poprzez</w:t>
      </w:r>
      <w:r>
        <w:t xml:space="preserve"> </w:t>
      </w:r>
      <w:r>
        <w:rPr>
          <w:rStyle w:val="VerbatimChar"/>
        </w:rPr>
        <w:t xml:space="preserve">dedupKey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częściowy</w:t>
      </w:r>
      <w:r>
        <w:t xml:space="preserve"> </w:t>
      </w:r>
      <w:r>
        <w:t xml:space="preserve">unikalny indeks (ograniczeniem objęte są tylko wiersze z niepustym</w:t>
      </w:r>
      <w:r>
        <w:t xml:space="preserve"> </w:t>
      </w:r>
      <w:r>
        <w:rPr>
          <w:rStyle w:val="VerbatimChar"/>
        </w:rPr>
        <w:t xml:space="preserve">dedupKey</w:t>
      </w:r>
      <w:r>
        <w:t xml:space="preserve">) w połączeniu z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przy wstawianiu. Odrzucone powiadomienia są miękko usuwane (</w:t>
      </w:r>
      <w:r>
        <w:rPr>
          <w:rStyle w:val="VerbatimChar"/>
        </w:rPr>
        <w:t xml:space="preserve">dismissed = true</w:t>
      </w:r>
      <w:r>
        <w:t xml:space="preserve">, wiersz zachowany) właśnie po to, aby klucz deduplikacji nadal blokował ponowne wstawienie tego samego logicznego powiadomienia — twarde usunięcie pozwoliłoby duplikatom ponownie się pojawić.</w:t>
      </w:r>
    </w:p>
    <w:bookmarkEnd w:id="40"/>
    <w:bookmarkStart w:id="41" w:name="paragony-i-magazyn-obiektowy"/>
    <w:p>
      <w:pPr>
        <w:pStyle w:val="Heading2"/>
      </w:pPr>
      <w:r>
        <w:t xml:space="preserve">6.7 Paragony i magazyn obiektowy</w:t>
      </w:r>
    </w:p>
    <w:p>
      <w:pPr>
        <w:pStyle w:val="FirstParagraph"/>
      </w:pPr>
      <w:r>
        <w:t xml:space="preserve">Obrazy paragonów są przechowywane w Google Cloud Storage, udostępniane przez proxy</w:t>
      </w:r>
      <w:r>
        <w:t xml:space="preserve"> </w:t>
      </w:r>
      <w:r>
        <w:rPr>
          <w:rStyle w:val="VerbatimChar"/>
        </w:rPr>
        <w:t xml:space="preserve">routes/storage.ts</w:t>
      </w:r>
      <w:r>
        <w:t xml:space="preserve">, który przed przesłaniem jakiegokolwiek pliku egzekwuje weryfikację własności (użytkownik żądającej sesji musi być właścicielem transakcji, do której odnosi się paragon). Kolumna</w:t>
      </w:r>
      <w:r>
        <w:t xml:space="preserve"> </w:t>
      </w:r>
      <w:r>
        <w:rPr>
          <w:rStyle w:val="VerbatimChar"/>
        </w:rPr>
        <w:t xml:space="preserve">transactions.receiptImage</w:t>
      </w:r>
      <w:r>
        <w:t xml:space="preserve"> </w:t>
      </w:r>
      <w:r>
        <w:t xml:space="preserve">historycznie przechowywała dane obrazu zakodowane w base64 bezpośrednio w kolumnie; kod został zmigrowany do przechowywania ścieżek obiektów GCS (</w:t>
      </w:r>
      <w:r>
        <w:rPr>
          <w:rStyle w:val="VerbatimChar"/>
        </w:rPr>
        <w:t xml:space="preserve">/objects/receipts/...</w:t>
      </w:r>
      <w:r>
        <w:t xml:space="preserve">).</w:t>
      </w:r>
      <w:r>
        <w:t xml:space="preserve"> </w:t>
      </w:r>
      <w:r>
        <w:rPr>
          <w:b/>
          <w:bCs/>
        </w:rPr>
        <w:t xml:space="preserve">Ścieżka renderowania paragonów musi nadal obsługiwać oba formaty</w:t>
      </w:r>
      <w:r>
        <w:t xml:space="preserve"> </w:t>
      </w:r>
      <w:r>
        <w:t xml:space="preserve">— wiersze legacy z danymi base64 inline nadal istnieją dla starszych transakcji i nie zostały wstecznie zmigrowane do GCS.</w:t>
      </w:r>
      <w:r>
        <w:t xml:space="preserve"> </w:t>
      </w:r>
      <w:r>
        <w:rPr>
          <w:rStyle w:val="VerbatimChar"/>
        </w:rPr>
        <w:t xml:space="preserve">scripts/migrate-receipts.ts</w:t>
      </w:r>
      <w:r>
        <w:t xml:space="preserve"> </w:t>
      </w:r>
      <w:r>
        <w:t xml:space="preserve">to jednorazowy skrypt migracyjny użyty przy tej transformacji; można go bezpiecznie uruchomić ponownie (jest idempotentny), jeśli zostaną odkryte dodatkowe wiersze legacy, ale nie należy go usuwać bez potwierdzenia, że nie pozostały żadne wiersze legacy w base64 (</w:t>
      </w:r>
      <w:r>
        <w:rPr>
          <w:rStyle w:val="VerbatimChar"/>
        </w:rPr>
        <w:t xml:space="preserve">SELECT count(*) FROM transactions WHERE receipt_image IS NOT NULL AND receipt_image NOT LIKE '/objects/%'</w:t>
      </w:r>
      <w:r>
        <w:t xml:space="preserve">).</w:t>
      </w:r>
    </w:p>
    <w:bookmarkEnd w:id="41"/>
    <w:bookmarkStart w:id="42" w:name="kolejka-mutacji-offline-frontend"/>
    <w:p>
      <w:pPr>
        <w:pStyle w:val="Heading2"/>
      </w:pPr>
      <w:r>
        <w:t xml:space="preserve">6.8 Kolejka mutacji offline (Frontend)</w:t>
      </w:r>
    </w:p>
    <w:p>
      <w:pPr>
        <w:pStyle w:val="FirstParagraph"/>
      </w:pPr>
      <w:r>
        <w:t xml:space="preserve">Frontend utrzymuje kolejkę mutacji typu offline-first (</w:t>
      </w:r>
      <w:r>
        <w:rPr>
          <w:rStyle w:val="VerbatimChar"/>
        </w:rPr>
        <w:t xml:space="preserve">src/lib</w:t>
      </w:r>
      <w:r>
        <w:t xml:space="preserve"> </w:t>
      </w:r>
      <w:r>
        <w:t xml:space="preserve">po stronie klienta) opartą na IndexedDB, dzięki czemu zapisy wykonane w trybie offline są przechwytywane i odtwarzane po przywróceniu połączenia. Kluczowe właściwości do zachowania: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Ścisła kolejność z zatrzymaniem przy błędzie (stop-on-failure)</w:t>
      </w:r>
      <w:r>
        <w:t xml:space="preserve">: mutacje w kolejce są odtwarzane w kolejności, w jakiej zostały utworzone; jeśli jedna zawiedzie, kolejne mutacje w kolejce są wstrzymywane zamiast odtwarzania poza kolejnością, aby uniknąć np. zastosowania usunięcia przed poprzedzającą je edycją.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Web Locks</w:t>
      </w:r>
      <w:r>
        <w:t xml:space="preserve"> </w:t>
      </w:r>
      <w:r>
        <w:t xml:space="preserve">jest używane, aby zapobiec równoczesnemu opróżnianiu kolejki przez dwie karty/konteksty przeglądarki i podwójnemu wysłaniu tych samych mutacji.</w:t>
      </w:r>
      <w:r>
        <w:t xml:space="preserve"> </w:t>
      </w:r>
      <w:r>
        <w:t xml:space="preserve">- Mechanizm ten jest powiązany z hookami mutacji TanStack Query po stronie klienta poprzez wrapper w stylu</w:t>
      </w:r>
      <w:r>
        <w:t xml:space="preserve"> </w:t>
      </w:r>
      <w:r>
        <w:rPr>
          <w:rStyle w:val="VerbatimChar"/>
        </w:rPr>
        <w:t xml:space="preserve">useMutationWithQueue</w:t>
      </w:r>
      <w:r>
        <w:t xml:space="preserve"> </w:t>
      </w:r>
      <w:r>
        <w:t xml:space="preserve">— nowe endpointy mutujące, które mają działać offline, muszą być podpięte przez ten wrapper, a nie wywoływane bezpośrednio, w przeciwnym razie w trybie offline po cichu nie zostaną dodane do kolejki.</w:t>
      </w:r>
    </w:p>
    <w:bookmarkEnd w:id="42"/>
    <w:bookmarkEnd w:id="43"/>
    <w:bookmarkStart w:id="44" w:name="architektura-frontendu"/>
    <w:p>
      <w:pPr>
        <w:pStyle w:val="Heading1"/>
      </w:pPr>
      <w:r>
        <w:t xml:space="preserve">7. Architektura frontendu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Routing</w:t>
      </w:r>
      <w:r>
        <w:t xml:space="preserve">: Wouter. Wzorce typu catch-all w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/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muszą używać</w:t>
      </w:r>
      <w:r>
        <w:t xml:space="preserve"> </w:t>
      </w:r>
      <w:r>
        <w:rPr>
          <w:rStyle w:val="VerbatimChar"/>
        </w:rPr>
        <w:t xml:space="preserve">path="/:rest*"</w:t>
      </w:r>
      <w:r>
        <w:t xml:space="preserve">, a nie</w:t>
      </w:r>
      <w:r>
        <w:t xml:space="preserve"> </w:t>
      </w:r>
      <w:r>
        <w:rPr>
          <w:rStyle w:val="VerbatimChar"/>
        </w:rPr>
        <w:t xml:space="preserve">path="/"</w:t>
      </w:r>
      <w:r>
        <w:t xml:space="preserve"> </w:t>
      </w:r>
      <w:r>
        <w:t xml:space="preserve">— Wouter v3 ściśle dopasowuje</w:t>
      </w:r>
      <w:r>
        <w:t xml:space="preserve"> </w:t>
      </w:r>
      <w:r>
        <w:rPr>
          <w:rStyle w:val="VerbatimChar"/>
        </w:rPr>
        <w:t xml:space="preserve">"/"</w:t>
      </w:r>
      <w:r>
        <w:t xml:space="preserve"> </w:t>
      </w:r>
      <w:r>
        <w:t xml:space="preserve">wyłącznie do dokładnej ścieżki głównej, w przeciwieństwie do niejawnego dopasowania prefiksowego w v2. Powodowało to wcześniej cichy błąd typu pusta trasa/404, gdy przeniesiono catch-all w stylu v2 bez zmian; należy zwracać na to szczególną uwagę przy przeglądzie lub pisaniu kodu routingu.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 serwera</w:t>
      </w:r>
      <w:r>
        <w:t xml:space="preserve">: wyłącznie TanStack Query dla danych serwerowych — nie jest używany osobny globalny store (np. Redux) dla stanu opartego na API. Stan UI wyłącznie po stronie klienta (sekwencjonowanie ekranu powitalnego, bramkowanie gotowości aplikacji) wykorzystuje React Context.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Struktura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</w:t>
      </w:r>
      <w:r>
        <w:t xml:space="preserve"> </w:t>
      </w:r>
      <w:r>
        <w:t xml:space="preserve">(widoki na poziomie tras),</w:t>
      </w:r>
      <w:r>
        <w:t xml:space="preserve"> </w:t>
      </w:r>
      <w:r>
        <w:rPr>
          <w:rStyle w:val="VerbatimChar"/>
        </w:rPr>
        <w:t xml:space="preserve">src/components/ui</w:t>
      </w:r>
      <w:r>
        <w:t xml:space="preserve"> </w:t>
      </w:r>
      <w:r>
        <w:t xml:space="preserve">(prymitywy w stylu shadcn/ui — traktować jako wygenerowane/dostarczone z zewnątrz, unikać intensywnych edycji inline),</w:t>
      </w:r>
      <w:r>
        <w:t xml:space="preserve"> </w:t>
      </w:r>
      <w:r>
        <w:rPr>
          <w:rStyle w:val="VerbatimChar"/>
        </w:rPr>
        <w:t xml:space="preserve">src/hooks</w:t>
      </w:r>
      <w:r>
        <w:t xml:space="preserve"> </w:t>
      </w:r>
      <w:r>
        <w:t xml:space="preserve">(własne hooki, w tym wrapper kolejki mutacji offline),</w:t>
      </w:r>
      <w:r>
        <w:t xml:space="preserve"> </w:t>
      </w:r>
      <w:r>
        <w:rPr>
          <w:rStyle w:val="VerbatimChar"/>
        </w:rPr>
        <w:t xml:space="preserve">src/lib</w:t>
      </w:r>
      <w:r>
        <w:t xml:space="preserve"> </w:t>
      </w:r>
      <w:r>
        <w:t xml:space="preserve">(narzędzia, konfiguracja klienta API, kolejka IndexedDB).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Wygenerowany klient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@workspace/api-client-react</w:t>
      </w:r>
      <w:r>
        <w:t xml:space="preserve"> </w:t>
      </w:r>
      <w:r>
        <w:t xml:space="preserve">dostarcza typowane hooki TanStack Query wygenerowane ze specyfikacji OpenAPI w</w:t>
      </w:r>
      <w:r>
        <w:t xml:space="preserve"> </w:t>
      </w:r>
      <w:r>
        <w:rPr>
          <w:rStyle w:val="VerbatimChar"/>
        </w:rPr>
        <w:t xml:space="preserve">lib/api-spec</w:t>
      </w:r>
      <w:r>
        <w:t xml:space="preserve">. Gdy zmienia się powierzchnia API backendu, należy wygenerować tego klienta ponownie, zamiast ręcznie pisać wywołania fetch w komponentach, aby typy frontendu i backendu nie mogły się po cichu rozjechać.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PWA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+ Workbox zasilają instalowalną, działającą offline powłokę aplikacji.</w:t>
      </w:r>
    </w:p>
    <w:bookmarkEnd w:id="44"/>
    <w:bookmarkStart w:id="45" w:name="poziom-zabezpieczeń"/>
    <w:p>
      <w:pPr>
        <w:pStyle w:val="Heading1"/>
      </w:pPr>
      <w:r>
        <w:t xml:space="preserve">8. Poziom zabezpieczeń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Mechanizm</w:t>
            </w:r>
          </w:p>
        </w:tc>
        <w:tc>
          <w:tcPr/>
          <w:p>
            <w:pPr>
              <w:pStyle w:val="Compact"/>
            </w:pPr>
            <w:r>
              <w:t xml:space="preserve">Implementacja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Uwierzytelnianie</w:t>
            </w:r>
          </w:p>
        </w:tc>
        <w:tc>
          <w:tcPr/>
          <w:p>
            <w:pPr>
              <w:pStyle w:val="Compact"/>
            </w:pPr>
            <w:r>
              <w:t xml:space="preserve">Logowanie oparte na PIN (</w:t>
            </w:r>
            <w:r>
              <w:rPr>
                <w:rStyle w:val="VerbatimChar"/>
              </w:rPr>
              <w:t xml:space="preserve">passwordHash</w:t>
            </w:r>
            <w:r>
              <w:t xml:space="preserve"> </w:t>
            </w:r>
            <w:r>
              <w:t xml:space="preserve">poprzez bcryptjs, konfigurowalna</w:t>
            </w:r>
            <w:r>
              <w:t xml:space="preserve"> </w:t>
            </w:r>
            <w:r>
              <w:rPr>
                <w:rStyle w:val="VerbatimChar"/>
              </w:rPr>
              <w:t xml:space="preserve">pinLength</w:t>
            </w:r>
            <w:r>
              <w:t xml:space="preserve">), z procesem resetu PIN opartym na tokenie (</w:t>
            </w:r>
            <w:r>
              <w:rPr>
                <w:rStyle w:val="VerbatimChar"/>
              </w:rPr>
              <w:t xml:space="preserve">pinResetToken</w:t>
            </w:r>
            <w:r>
              <w:t xml:space="preserve"> </w:t>
            </w:r>
            <w:r>
              <w:t xml:space="preserve">+ wygaśnięcie)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Zarządzanie sesją</w:t>
            </w:r>
          </w:p>
        </w:tc>
        <w:tc>
          <w:tcPr/>
          <w:p>
            <w:pPr>
              <w:pStyle w:val="Compact"/>
            </w:pPr>
            <w:r>
              <w:t xml:space="preserve">Sesje po stronie serwera (</w:t>
            </w:r>
            <w:r>
              <w:rPr>
                <w:rStyle w:val="VerbatimChar"/>
              </w:rPr>
              <w:t xml:space="preserve">express-session</w:t>
            </w:r>
            <w:r>
              <w:t xml:space="preserve"> </w:t>
            </w:r>
            <w:r>
              <w:t xml:space="preserve">+ magazyn Postgres),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sameSite: 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na produkcji, kroczące wygaśnięcie 30 dni. Zapis sesji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t xml:space="preserve">jest jawnie oczekiwany (</w:t>
            </w:r>
            <w:r>
              <w:rPr>
                <w:rStyle w:val="VerbatimChar"/>
              </w:rPr>
              <w:t xml:space="preserve">await</w:t>
            </w:r>
            <w:r>
              <w:t xml:space="preserve">) przed wysłaniem odpowiedzi na endpointach uwierzytelniania — wcześniejszy błąd pozwalał szybkiemu ponownemu pobraniu danych przez klienta wyprzedzić zapis sesji i zaobserwować nieaktualny/niezalogowany stan; ta poprawka nie może zostać cofnięta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 proxy</w:t>
            </w:r>
            <w:r>
              <w:t xml:space="preserve"> </w:t>
            </w:r>
            <w:r>
              <w:t xml:space="preserve">ustawione dla poprawnego działania</w:t>
            </w:r>
            <w:r>
              <w:t xml:space="preserve"> </w:t>
            </w:r>
            <w:r>
              <w:rPr>
                <w:rStyle w:val="VerbatimChar"/>
              </w:rPr>
              <w:t xml:space="preserve">req.secure</w:t>
            </w:r>
            <w:r>
              <w:t xml:space="preserve"> </w:t>
            </w:r>
            <w:r>
              <w:t xml:space="preserve">za terminującym TLS proxy Replit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Jawna lista dozwolonych originów wyprowadzona z</w:t>
            </w:r>
            <w:r>
              <w:t xml:space="preserve"> </w:t>
            </w:r>
            <w:r>
              <w:rPr>
                <w:rStyle w:val="VerbatimChar"/>
              </w:rPr>
              <w:t xml:space="preserve">REPLIT_DOMAINS</w:t>
            </w:r>
            <w:r>
              <w:t xml:space="preserve">; brak dzikiej karty (wildcard) w originie;</w:t>
            </w:r>
            <w:r>
              <w:t xml:space="preserve"> </w:t>
            </w:r>
            <w:r>
              <w:rPr>
                <w:rStyle w:val="VerbatimChar"/>
              </w:rPr>
              <w:t xml:space="preserve">credentials: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Nagłówki</w:t>
            </w:r>
          </w:p>
        </w:tc>
        <w:tc>
          <w:tcPr/>
          <w:p>
            <w:pPr>
              <w:pStyle w:val="Compact"/>
            </w:pPr>
            <w:r>
              <w:t xml:space="preserve">Domyślne ustawienia Helmet (HSTS, X-Content-Type-Options itd.); CSP celowo przeniesione na warstwę edge/frontend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Limity per adres IP na endpointach uwierzytelniania i ekstrakcji AI (patrz 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Autoryzacja / IDOR</w:t>
            </w:r>
          </w:p>
        </w:tc>
        <w:tc>
          <w:tcPr/>
          <w:p>
            <w:pPr>
              <w:pStyle w:val="Compact"/>
            </w:pPr>
            <w:r>
              <w:t xml:space="preserve">Weryfikacja własności zasobu w handlerach tras (w szczególności</w:t>
            </w:r>
            <w:r>
              <w:t xml:space="preserve"> </w:t>
            </w:r>
            <w:r>
              <w:rPr>
                <w:rStyle w:val="VerbatimChar"/>
              </w:rPr>
              <w:t xml:space="preserve">routes/storage.ts</w:t>
            </w:r>
            <w:r>
              <w:t xml:space="preserve"> </w:t>
            </w:r>
            <w:r>
              <w:t xml:space="preserve">dla plików paragonów) oraz ograniczanie zapytań poprzez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/</w:t>
            </w:r>
            <w:r>
              <w:rPr>
                <w:rStyle w:val="VerbatimChar"/>
              </w:rPr>
              <w:t xml:space="preserve">householdId</w:t>
            </w:r>
            <w:r>
              <w:t xml:space="preserve"> </w:t>
            </w:r>
            <w:r>
              <w:t xml:space="preserve">w zapytaniach dotyczących kategorii/podsumowań/budżetu —</w:t>
            </w:r>
            <w:r>
              <w:t xml:space="preserve"> </w:t>
            </w:r>
            <w:r>
              <w:rPr>
                <w:b/>
                <w:bCs/>
              </w:rPr>
              <w:t xml:space="preserve">każde nowe zapytanie do tabeli współdzielonej lub zagregowanej musi zawierać jawny zakres użytkownika/gospodarstwa domowego; nie należy polegać na tym, że frontend zażąda wyłącznie własnych danych wywołującego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Walidacja danych wejściowych</w:t>
            </w:r>
          </w:p>
        </w:tc>
        <w:tc>
          <w:tcPr/>
          <w:p>
            <w:pPr>
              <w:pStyle w:val="Compact"/>
            </w:pPr>
            <w:r>
              <w:t xml:space="preserve">Schematy Zod z</w:t>
            </w:r>
            <w:r>
              <w:t xml:space="preserve"> </w:t>
            </w:r>
            <w:r>
              <w:rPr>
                <w:rStyle w:val="VerbatimChar"/>
              </w:rPr>
              <w:t xml:space="preserve">@workspace/api-zod</w:t>
            </w:r>
            <w:r>
              <w:t xml:space="preserve"> </w:t>
            </w:r>
            <w:r>
              <w:t xml:space="preserve">na wszystkich endpointach mutujących; parametry zakresu dat/klucza miesiąca używane wewnątrz surowych klauzul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są walidowane wyrażeniem regularnym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  <w:r>
              <w:t xml:space="preserve"> </w:t>
            </w:r>
            <w:r>
              <w:t xml:space="preserve">przed użyciem, aby zapobiec wstrzyknięciu dzikiej karty SQL (SQL wildcard injection)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Sekrety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SENTRY_DSN</w:t>
            </w:r>
            <w:r>
              <w:t xml:space="preserve"> </w:t>
            </w:r>
            <w:r>
              <w:t xml:space="preserve">oraz konfiguracja bucketu GCS są odczytywane ze zmiennych środowiskowych/sekretów, nigdy zakodowane na sztywno. Uruchomienie jawnie odmawia startu na produkcji z nieustawionym lub domyślnym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Łańcuch dostaw zależności</w:t>
            </w:r>
          </w:p>
        </w:tc>
        <w:tc>
          <w:tcPr/>
          <w:p>
            <w:pPr>
              <w:pStyle w:val="Compact"/>
            </w:pPr>
            <w:r>
              <w:t xml:space="preserve">Polityka</w:t>
            </w:r>
            <w:r>
              <w:t xml:space="preserve"> </w:t>
            </w:r>
            <w:r>
              <w:rPr>
                <w:rStyle w:val="VerbatimChar"/>
              </w:rPr>
              <w:t xml:space="preserve">minimumReleaseAge</w:t>
            </w:r>
            <w:r>
              <w:t xml:space="preserve"> </w:t>
            </w:r>
            <w:r>
              <w:t xml:space="preserve">(§3.3) oraz jawne przypięcia</w:t>
            </w:r>
            <w:r>
              <w:t xml:space="preserve"> </w:t>
            </w:r>
            <w:r>
              <w:rPr>
                <w:rStyle w:val="VerbatimChar"/>
              </w:rPr>
              <w:t xml:space="preserve">pnpm.overrides</w:t>
            </w:r>
            <w:r>
              <w:t xml:space="preserve"> </w:t>
            </w:r>
            <w:r>
              <w:t xml:space="preserve">dla znanych podatnych zależności tranzytywnych — należy uruchamiać</w:t>
            </w:r>
            <w:r>
              <w:t xml:space="preserve"> </w:t>
            </w:r>
            <w:r>
              <w:rPr>
                <w:rStyle w:val="VerbatimChar"/>
              </w:rPr>
              <w:t xml:space="preserve">pnpm audit</w:t>
            </w:r>
            <w:r>
              <w:t xml:space="preserve"> </w:t>
            </w:r>
            <w:r>
              <w:t xml:space="preserve">w ramach każdej recenzji podniesienia wersji zależności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Monitorowanie błędów</w:t>
            </w:r>
          </w:p>
        </w:tc>
        <w:tc>
          <w:tcPr/>
          <w:p>
            <w:pPr>
              <w:pStyle w:val="Compact"/>
            </w:pPr>
            <w:r>
              <w:t xml:space="preserve">Sentry (</w:t>
            </w:r>
            <w:r>
              <w:rPr>
                <w:rStyle w:val="VerbatimChar"/>
              </w:rPr>
              <w:t xml:space="preserve">@sentry/node</w:t>
            </w:r>
            <w:r>
              <w:t xml:space="preserve"> </w:t>
            </w:r>
            <w:r>
              <w:t xml:space="preserve">po stronie serwera,</w:t>
            </w:r>
            <w:r>
              <w:t xml:space="preserve"> </w:t>
            </w:r>
            <w:r>
              <w:rPr>
                <w:rStyle w:val="VerbatimChar"/>
              </w:rPr>
              <w:t xml:space="preserve">@sentry/react</w:t>
            </w:r>
            <w:r>
              <w:t xml:space="preserve"> </w:t>
            </w:r>
            <w:r>
              <w:t xml:space="preserve">po stronie klienta) — musi pozostać pierwszym importem w</w:t>
            </w:r>
            <w:r>
              <w:t xml:space="preserve"> </w:t>
            </w:r>
            <w:r>
              <w:rPr>
                <w:rStyle w:val="VerbatimChar"/>
              </w:rPr>
              <w:t xml:space="preserve">index.ts</w:t>
            </w:r>
            <w:r>
              <w:t xml:space="preserve">, aby instrumentacja podłączyła się poprawnie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Higiena logowania</w:t>
            </w:r>
          </w:p>
        </w:tc>
        <w:tc>
          <w:tcPr/>
          <w:p>
            <w:pPr>
              <w:pStyle w:val="Compact"/>
            </w:pPr>
            <w:r>
              <w:t xml:space="preserve">Logi żądań usuwają parametry zapytania i ciała odpowiedzi; nie należy logować pełnych ładunków żądań/odpowiedzi dla endpointów dotykających danych finansowych lub uwierzytelniania</w:t>
            </w:r>
          </w:p>
        </w:tc>
      </w:tr>
    </w:tbl>
    <w:bookmarkEnd w:id="45"/>
    <w:bookmarkStart w:id="46" w:name="testowanie"/>
    <w:p>
      <w:pPr>
        <w:pStyle w:val="Heading1"/>
      </w:pPr>
      <w:r>
        <w:t xml:space="preserve">9. Testowanie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Framework</w:t>
      </w:r>
      <w:r>
        <w:t xml:space="preserve">: Vitest, z Supertest do testów integracyjnych na poziomie HTTP względem aplikacji Express.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artifacts/api-server/src/__tests__/*.test.ts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Aktualne pokrycie</w:t>
      </w:r>
      <w:r>
        <w:t xml:space="preserve"> </w:t>
      </w:r>
      <w:r>
        <w:t xml:space="preserve">(jednostkowe/integracyjne, backend):</w:t>
      </w:r>
      <w:r>
        <w:t xml:space="preserve"> </w:t>
      </w:r>
      <w:r>
        <w:rPr>
          <w:rStyle w:val="VerbatimChar"/>
        </w:rPr>
        <w:t xml:space="preserve">goals-helpers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recurring-helpers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split-helpers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summary-helpers</w:t>
      </w:r>
      <w:r>
        <w:t xml:space="preserve"> </w:t>
      </w:r>
      <w:r>
        <w:t xml:space="preserve">— tzn. pokrycie jest skoncentrowane na warstwie logiki biznesowej</w:t>
      </w:r>
      <w:r>
        <w:t xml:space="preserve"> </w:t>
      </w:r>
      <w:r>
        <w:rPr>
          <w:rStyle w:val="VerbatimChar"/>
        </w:rPr>
        <w:t xml:space="preserve">lib/*-helpers.ts</w:t>
      </w:r>
      <w:r>
        <w:t xml:space="preserve"> </w:t>
      </w:r>
      <w:r>
        <w:t xml:space="preserve">opisanej w §4.3, zgodnie ze wzorcem „cienkie trasy, testowane pomocniki”. Testy HTTP na poziomie tras istnieją dla endpointu health; szerokie pokrycie end-to-end wszystkich plików</w:t>
      </w:r>
      <w:r>
        <w:t xml:space="preserve"> </w:t>
      </w:r>
      <w:r>
        <w:rPr>
          <w:rStyle w:val="VerbatimChar"/>
        </w:rPr>
        <w:t xml:space="preserve">routes/*.ts</w:t>
      </w:r>
      <w:r>
        <w:t xml:space="preserve"> </w:t>
      </w:r>
      <w:r>
        <w:rPr>
          <w:b/>
          <w:bCs/>
        </w:rPr>
        <w:t xml:space="preserve">obecnie nie istnieje</w:t>
      </w:r>
      <w:r>
        <w:t xml:space="preserve"> </w:t>
      </w:r>
      <w:r>
        <w:t xml:space="preserve">i jest luką, którą przejmujący zespół powinien potraktować priorytetowo, w szczególności dla</w:t>
      </w:r>
      <w:r>
        <w:t xml:space="preserve"> </w:t>
      </w:r>
      <w:r>
        <w:rPr>
          <w:rStyle w:val="VerbatimChar"/>
        </w:rPr>
        <w:t xml:space="preserve">transactions.ts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recurring-payments.ts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goals.ts</w:t>
      </w:r>
      <w:r>
        <w:t xml:space="preserve">, biorąc pod uwagę ich wrażliwość na idempotencję/wyścigi (race conditions).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t xml:space="preserve">: obecnie nie istnieje żaden automatyczny zestaw testów pod</w:t>
      </w:r>
      <w:r>
        <w:t xml:space="preserve"> </w:t>
      </w:r>
      <w:r>
        <w:rPr>
          <w:rStyle w:val="VerbatimChar"/>
        </w:rPr>
        <w:t xml:space="preserve">artifacts/finance-app</w:t>
      </w:r>
      <w:r>
        <w:t xml:space="preserve">. Jest to luka; zaleca się wprowadzenie testów komponentów/integracyjnych (np. Vitest + Testing Library) przed wprowadzeniem zmian strukturalnych w kolejce mutacji offline lub przepływach UI podziału/płatności cyklicznych, biorąc pod uwagę, jak łatwo jest po cichu naruszyć ich niezmienniki (invariants).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Komendy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pnpm --filter @workspace/api-server run test</w:t>
      </w:r>
      <w:r>
        <w:t xml:space="preserve"> </w:t>
      </w:r>
      <w:r>
        <w:t xml:space="preserve">— uruchomienie zestawu testów backendu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pnpm --filter @workspace/api-server run test:watch</w:t>
      </w:r>
      <w:r>
        <w:t xml:space="preserve"> </w:t>
      </w:r>
      <w:r>
        <w:t xml:space="preserve">— tryb watch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pnpm --filter &lt;package&gt; run typecheck</w:t>
      </w:r>
      <w:r>
        <w:t xml:space="preserve"> </w:t>
      </w:r>
      <w:r>
        <w:t xml:space="preserve">— ścisła kontrola typów TypeScript per pakiet (uruchamiać zarówno dla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, jak i</w:t>
      </w:r>
      <w:r>
        <w:t xml:space="preserve"> </w:t>
      </w:r>
      <w:r>
        <w:rPr>
          <w:rStyle w:val="VerbatimChar"/>
        </w:rPr>
        <w:t xml:space="preserve">finance-app</w:t>
      </w:r>
      <w:r>
        <w:t xml:space="preserve"> </w:t>
      </w:r>
      <w:r>
        <w:t xml:space="preserve">przed scaleniem jakiejkolwiek zmiany)</w:t>
      </w:r>
    </w:p>
    <w:bookmarkEnd w:id="46"/>
    <w:bookmarkStart w:id="48" w:name="X662bdd6044247e8d2598465c2e12c71e691a216"/>
    <w:p>
      <w:pPr>
        <w:pStyle w:val="Heading1"/>
      </w:pPr>
      <w:r>
        <w:t xml:space="preserve">10. Wdrożenie i konfiguracja środowiska uruchomieniowego</w:t>
      </w:r>
    </w:p>
    <w:p>
      <w:pPr>
        <w:pStyle w:val="Compact"/>
        <w:numPr>
          <w:ilvl w:val="0"/>
          <w:numId w:val="1009"/>
        </w:numPr>
      </w:pPr>
      <w:r>
        <w:t xml:space="preserve">Każdy artefakt działa w ramach workflow zarządzanego przez Replit, wyprowadzonego z jego</w:t>
      </w:r>
      <w:r>
        <w:t xml:space="preserve"> </w:t>
      </w:r>
      <w:r>
        <w:rPr>
          <w:rStyle w:val="VerbatimChar"/>
        </w:rPr>
        <w:t xml:space="preserve">artifact.toml</w:t>
      </w:r>
      <w:r>
        <w:t xml:space="preserve">; workflow wiąże się ze zmienną środowiskową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przypisaną przez platformę —</w:t>
      </w:r>
      <w:r>
        <w:t xml:space="preserve"> </w:t>
      </w:r>
      <w:r>
        <w:rPr>
          <w:b/>
          <w:bCs/>
        </w:rPr>
        <w:t xml:space="preserve">nigdy nie zaszywać portu na sztywno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artifacts/api-server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build.mjs</w:t>
      </w:r>
      <w:r>
        <w:t xml:space="preserve"> </w:t>
      </w:r>
      <w:r>
        <w:t xml:space="preserve">(esbuild) pakuje kod do</w:t>
      </w:r>
      <w:r>
        <w:t xml:space="preserve"> </w:t>
      </w:r>
      <w:r>
        <w:rPr>
          <w:rStyle w:val="VerbatimChar"/>
        </w:rPr>
        <w:t xml:space="preserve">dist/index.mjs</w:t>
      </w:r>
      <w:r>
        <w:t xml:space="preserve">;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uruchamia bundle bezpośrednio z flagą</w:t>
      </w:r>
      <w:r>
        <w:t xml:space="preserve"> </w:t>
      </w:r>
      <w:r>
        <w:rPr>
          <w:rStyle w:val="VerbatimChar"/>
        </w:rPr>
        <w:t xml:space="preserve">--enable-source-maps</w:t>
      </w:r>
      <w:r>
        <w:t xml:space="preserve">, aby ślady stosu Sentry/błędów mapowały się z powrotem do oryginalnego kodu TypeScript.</w:t>
      </w:r>
    </w:p>
    <w:p>
      <w:pPr>
        <w:pStyle w:val="Compact"/>
        <w:numPr>
          <w:ilvl w:val="0"/>
          <w:numId w:val="1009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artifacts/finance-app</w:t>
      </w:r>
      <w:r>
        <w:t xml:space="preserve">: standardowy build produkcyjny Vite (</w:t>
      </w:r>
      <w:r>
        <w:rPr>
          <w:rStyle w:val="VerbatimChar"/>
        </w:rPr>
        <w:t xml:space="preserve">vite build</w:t>
      </w:r>
      <w:r>
        <w:t xml:space="preserve">); dostępny skrypt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do lokalnego podglądu w trybie produkcyjnym.</w:t>
      </w:r>
    </w:p>
    <w:bookmarkStart w:id="47" w:name="wymagane-zmienne-środowiskowe-sekrety"/>
    <w:p>
      <w:pPr>
        <w:pStyle w:val="Heading3"/>
      </w:pPr>
      <w:r>
        <w:t xml:space="preserve">Wymagane zmienne środowiskowe / sekrety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Przeznaczenie</w:t>
            </w:r>
          </w:p>
        </w:tc>
        <w:tc>
          <w:tcPr/>
          <w:p>
            <w:pPr>
              <w:pStyle w:val="Compact"/>
            </w:pPr>
            <w:r>
              <w:t xml:space="preserve">Tryb awarii w przypadku braku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Connection string PostgreSQL</w:t>
            </w:r>
          </w:p>
        </w:tc>
        <w:tc>
          <w:tcPr/>
          <w:p>
            <w:pPr>
              <w:pStyle w:val="Compact"/>
            </w:pPr>
            <w:r>
              <w:t xml:space="preserve">Serwer odmawia startu (</w:t>
            </w:r>
            <w:r>
              <w:rPr>
                <w:rStyle w:val="VerbatimChar"/>
              </w:rPr>
              <w:t xml:space="preserve">process.exit(1)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Sekret podpisujący ciasteczka sesji</w:t>
            </w:r>
          </w:p>
        </w:tc>
        <w:tc>
          <w:tcPr/>
          <w:p>
            <w:pPr>
              <w:pStyle w:val="Compact"/>
            </w:pPr>
            <w:r>
              <w:t xml:space="preserve">Serwer odmawia startu na produkcji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Port bindowania (przydzielany przez platformę)</w:t>
            </w:r>
          </w:p>
        </w:tc>
        <w:tc>
          <w:tcPr/>
          <w:p>
            <w:pPr>
              <w:pStyle w:val="Compact"/>
            </w:pPr>
            <w:r>
              <w:t xml:space="preserve">Serwer odmawia startu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REPLIT_DOMAINS</w:t>
            </w:r>
          </w:p>
        </w:tc>
        <w:tc>
          <w:tcPr/>
          <w:p>
            <w:pPr>
              <w:pStyle w:val="Compact"/>
            </w:pPr>
            <w:r>
              <w:t xml:space="preserve">Lista dozwolonych originów CORS rozdzielona przecinkami</w:t>
            </w:r>
          </w:p>
        </w:tc>
        <w:tc>
          <w:tcPr/>
          <w:p>
            <w:pPr>
              <w:pStyle w:val="Compact"/>
            </w:pPr>
            <w:r>
              <w:t xml:space="preserve">Lista dozwolonych CORS ogranicza się do localhost; żądania frontendu produkcyjnego zostaną odrzucone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Wysyłka transakcyjnych e-maili</w:t>
            </w:r>
          </w:p>
        </w:tc>
        <w:tc>
          <w:tcPr/>
          <w:p>
            <w:pPr>
              <w:pStyle w:val="Compact"/>
            </w:pPr>
            <w:r>
              <w:t xml:space="preserve">Wysyłka e-mail jest wyłączona/nieaktywna; sprawdzić log startowy serwera w celu potwierdzenia inicjalizacji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VITE_SENTRY_DSN</w:t>
            </w:r>
          </w:p>
        </w:tc>
        <w:tc>
          <w:tcPr/>
          <w:p>
            <w:pPr>
              <w:pStyle w:val="Compact"/>
            </w:pPr>
            <w:r>
              <w:t xml:space="preserve">Śledzenie błędów (serwer/klient)</w:t>
            </w:r>
          </w:p>
        </w:tc>
        <w:tc>
          <w:tcPr/>
          <w:p>
            <w:pPr>
              <w:pStyle w:val="Compact"/>
            </w:pPr>
            <w:r>
              <w:t xml:space="preserve">Błędy nie są raportowane do Sentry, ale aplikacja nadal działa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Ekstrakcja AI paragonów/zrzutów ekranu (</w:t>
            </w:r>
            <w:r>
              <w:rPr>
                <w:rStyle w:val="VerbatimChar"/>
              </w:rPr>
              <w:t xml:space="preserve">@google/genai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Endpoint ekstrakcji ze zrzutu ekranu zawodzi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DEFAULT_OBJECT_STORAGE_BUCKET_ID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PRIVATE_OBJECT_DIR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PUBLIC_OBJECT_SEARCH_PATHS</w:t>
            </w:r>
          </w:p>
        </w:tc>
        <w:tc>
          <w:tcPr/>
          <w:p>
            <w:pPr>
              <w:pStyle w:val="Compact"/>
            </w:pPr>
            <w:r>
              <w:t xml:space="preserve">Konfiguracja magazynu obiektowego (GCS) dla paragonów</w:t>
            </w:r>
          </w:p>
        </w:tc>
        <w:tc>
          <w:tcPr/>
          <w:p>
            <w:pPr>
              <w:pStyle w:val="Compact"/>
            </w:pPr>
            <w:r>
              <w:t xml:space="preserve">Przesyłanie/pobieranie paragonów zawodzi</w:t>
            </w:r>
          </w:p>
        </w:tc>
      </w:tr>
    </w:tbl>
    <w:bookmarkEnd w:id="47"/>
    <w:bookmarkEnd w:id="48"/>
    <w:bookmarkStart w:id="49" w:name="znany-dług-techniczny-i-rekomendacje"/>
    <w:p>
      <w:pPr>
        <w:pStyle w:val="Heading1"/>
      </w:pPr>
      <w:r>
        <w:t xml:space="preserve">11. Znany dług techniczny i rekomendacje</w:t>
      </w:r>
    </w:p>
    <w:p>
      <w:pPr>
        <w:pStyle w:val="FirstParagraph"/>
      </w:pPr>
      <w:r>
        <w:t xml:space="preserve">Dla planowania backlogu przejmującego zespołu, w przybliżonej kolejności priorytetów: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Brak pokrycia testami frontendu.</w:t>
      </w:r>
      <w:r>
        <w:t xml:space="preserve"> </w:t>
      </w:r>
      <w:r>
        <w:t xml:space="preserve">Backend posiada ukierunkowane pokrycie jednostkowe pomocników logiki biznesowej; aplikacja React nie posiada żadnego. Biorąc pod uwagę złożoność kolejki mutacji offline oraz przepływów podziału/płatności cyklicznych, jest to luka o najwyższej dźwigni do zamknięcia w pierwszej kolejności.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Pokrycie testami integracyjnymi na poziomie tras jest niewielkie.</w:t>
      </w:r>
      <w:r>
        <w:t xml:space="preserve"> </w:t>
      </w:r>
      <w:r>
        <w:t xml:space="preserve">Tylko</w:t>
      </w:r>
      <w:r>
        <w:t xml:space="preserve"> </w:t>
      </w:r>
      <w:r>
        <w:rPr>
          <w:rStyle w:val="VerbatimChar"/>
        </w:rPr>
        <w:t xml:space="preserve">health.ts</w:t>
      </w:r>
      <w:r>
        <w:t xml:space="preserve"> </w:t>
      </w:r>
      <w:r>
        <w:t xml:space="preserve">posiada bezpośrednie testy na poziomie HTTP; reszta</w:t>
      </w:r>
      <w:r>
        <w:t xml:space="preserve"> </w:t>
      </w:r>
      <w:r>
        <w:rPr>
          <w:rStyle w:val="VerbatimChar"/>
        </w:rPr>
        <w:t xml:space="preserve">routes/*.ts</w:t>
      </w:r>
      <w:r>
        <w:t xml:space="preserve"> </w:t>
      </w:r>
      <w:r>
        <w:t xml:space="preserve">jest testowana wyłącznie pośrednio poprzez testy jednostkowe pomocników. Zalecane są testy integracyjne oparte na Supertest dla</w:t>
      </w:r>
      <w:r>
        <w:t xml:space="preserve"> </w:t>
      </w:r>
      <w:r>
        <w:rPr>
          <w:rStyle w:val="VerbatimChar"/>
        </w:rPr>
        <w:t xml:space="preserve">transactions.ts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recurring-payments.ts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goals.ts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splits.ts</w:t>
      </w:r>
      <w:r>
        <w:t xml:space="preserve">, biorąc pod uwagę złożoność ich maszyn stanów/idempotencji.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Relacja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expense_splits</w:t>
      </w:r>
      <w:r>
        <w:rPr>
          <w:b/>
          <w:bCs/>
        </w:rPr>
        <w:t xml:space="preserve"> </w:t>
      </w:r>
      <w:r>
        <w:rPr>
          <w:b/>
          <w:bCs/>
        </w:rPr>
        <w:t xml:space="preserve">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transactions</w:t>
      </w:r>
      <w:r>
        <w:rPr>
          <w:b/>
          <w:bCs/>
        </w:rPr>
        <w:t xml:space="preserve"> </w:t>
      </w:r>
      <w:r>
        <w:rPr>
          <w:b/>
          <w:bCs/>
        </w:rPr>
        <w:t xml:space="preserve">celowo nie posiada klucza obcego na poziomie bazy danych</w:t>
      </w:r>
      <w:r>
        <w:t xml:space="preserve"> </w:t>
      </w:r>
      <w:r>
        <w:t xml:space="preserve">(odniesienie cykliczne), co oznacza, że integralność referencyjna podziałów zależy całkowicie od poprawnego użycia</w:t>
      </w:r>
      <w:r>
        <w:t xml:space="preserve"> </w:t>
      </w:r>
      <w:r>
        <w:rPr>
          <w:rStyle w:val="VerbatimChar"/>
        </w:rPr>
        <w:t xml:space="preserve">split-helpers.ts</w:t>
      </w:r>
      <w:r>
        <w:t xml:space="preserve"> </w:t>
      </w:r>
      <w:r>
        <w:t xml:space="preserve">wszędzie. Warto rozważyć okresowe zadanie sprawdzające spójność (lub bardziej rygorystyczną abstrakcję na poziomie aplikacji), aby wcześnie wychwytywać rozjazdy, skoro sama baza danych nie jest w stanie tego zrobić.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Wiersze legacy z paragonami w base64 mogą nadal istnieć</w:t>
      </w:r>
      <w:r>
        <w:t xml:space="preserve"> </w:t>
      </w:r>
      <w:r>
        <w:t xml:space="preserve">obok nowszego formatu ścieżek GCS; należy potwierdzić pełne zakończenie migracji (patrz zapytanie w §6.7), a jeśli tak, uprościć ścieżkę renderowania paragonów, usuwając obsługę base64 i skrypt</w:t>
      </w:r>
      <w:r>
        <w:t xml:space="preserve"> </w:t>
      </w:r>
      <w:r>
        <w:rPr>
          <w:rStyle w:val="VerbatimChar"/>
        </w:rPr>
        <w:t xml:space="preserve">scripts/migrate-receipts.ts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Internacjonalizacja (i18n) powiadomień jest zakodowana na sztywno do dwóch języków</w:t>
      </w:r>
      <w:r>
        <w:t xml:space="preserve"> </w:t>
      </w:r>
      <w:r>
        <w:t xml:space="preserve">(kolumny</w:t>
      </w:r>
      <w:r>
        <w:t xml:space="preserve"> </w:t>
      </w:r>
      <w:r>
        <w:rPr>
          <w:rStyle w:val="VerbatimChar"/>
        </w:rPr>
        <w:t xml:space="preserve">titleEn</w:t>
      </w:r>
      <w:r>
        <w:t xml:space="preserve">/</w:t>
      </w:r>
      <w:r>
        <w:rPr>
          <w:rStyle w:val="VerbatimChar"/>
        </w:rPr>
        <w:t xml:space="preserve">titlePl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bodyEn</w:t>
      </w:r>
      <w:r>
        <w:t xml:space="preserve">/</w:t>
      </w:r>
      <w:r>
        <w:rPr>
          <w:rStyle w:val="VerbatimChar"/>
        </w:rPr>
        <w:t xml:space="preserve">bodyPl</w:t>
      </w:r>
      <w:r>
        <w:t xml:space="preserve">), zamiast skalowalnego projektu klucz/wartość i18n. Przy obecnej skali jest to wystarczające; przed dodaniem trzeciego języka konieczna będzie przebudowa.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Wpisy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pnpm.overrides</w:t>
      </w:r>
      <w:r>
        <w:rPr>
          <w:b/>
          <w:bCs/>
        </w:rPr>
        <w:t xml:space="preserve"> </w:t>
      </w:r>
      <w:r>
        <w:rPr>
          <w:b/>
          <w:bCs/>
        </w:rPr>
        <w:t xml:space="preserve">przypinające zależności tranzytywne</w:t>
      </w:r>
      <w:r>
        <w:t xml:space="preserve"> </w:t>
      </w:r>
      <w:r>
        <w:t xml:space="preserve">(§3.3) powinny być okresowo weryfikowane — gdy pakiety wprowadzające podatne wersje tranzytywne podniosą własne dolne granice powyżej wersji z poprawką, ręczne nadpisanie można usunąć, aby zmniejszyć powierzchnię utrzymania. Po każdym takim usunięciu należy ponownie uruchomić</w:t>
      </w:r>
      <w:r>
        <w:t xml:space="preserve"> </w:t>
      </w:r>
      <w:r>
        <w:rPr>
          <w:rStyle w:val="VerbatimChar"/>
        </w:rPr>
        <w:t xml:space="preserve">pnpm audit</w:t>
      </w:r>
      <w:r>
        <w:t xml:space="preserve">.</w:t>
      </w:r>
    </w:p>
    <w:bookmarkEnd w:id="49"/>
    <w:bookmarkStart w:id="50" w:name="szybki-start-komendy-referencyjne"/>
    <w:p>
      <w:pPr>
        <w:pStyle w:val="Heading1"/>
      </w:pPr>
      <w:r>
        <w:t xml:space="preserve">12. Szybki start — komendy referencyjne</w:t>
      </w:r>
    </w:p>
    <w:p>
      <w:pPr>
        <w:pStyle w:val="SourceCode"/>
      </w:pPr>
      <w:r>
        <w:rPr>
          <w:rStyle w:val="CommentTok"/>
        </w:rPr>
        <w:t xml:space="preserve"># Instalacja wszystkich zależności workspace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Uruchomienie backendu w trybie dev (buduje, a następnie startuje; pobiera PORT ze środowiska)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@workspace/api-server run dev</w:t>
      </w:r>
      <w:r>
        <w:br/>
      </w:r>
      <w:r>
        <w:br/>
      </w:r>
      <w:r>
        <w:rPr>
          <w:rStyle w:val="CommentTok"/>
        </w:rPr>
        <w:t xml:space="preserve"># Uruchomienie serwera dev frontendu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@workspace/finance-app run dev</w:t>
      </w:r>
      <w:r>
        <w:br/>
      </w:r>
      <w:r>
        <w:br/>
      </w:r>
      <w:r>
        <w:rPr>
          <w:rStyle w:val="CommentTok"/>
        </w:rPr>
        <w:t xml:space="preserve"># Kontrola typów pakietu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@workspace/api-server run typecheck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@workspace/finance-app run typecheck</w:t>
      </w:r>
      <w:r>
        <w:br/>
      </w:r>
      <w:r>
        <w:br/>
      </w:r>
      <w:r>
        <w:rPr>
          <w:rStyle w:val="CommentTok"/>
        </w:rPr>
        <w:t xml:space="preserve"># Uruchomienie testów backendu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@workspace/api-server run test</w:t>
      </w:r>
      <w:r>
        <w:br/>
      </w:r>
      <w:r>
        <w:br/>
      </w:r>
      <w:r>
        <w:rPr>
          <w:rStyle w:val="CommentTok"/>
        </w:rPr>
        <w:t xml:space="preserve"># Wygenerowanie nowej migracji Drizzle po edycji lib/db/src/schema/*.ts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@workspace/db exec drizzle-kit generate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Niniejszy dokument odzwierciedla stan kodu na dzień 11 lipca 2026. Powinien być aktualizowany w miarę wprowadzania przez przejmujący zespół zmian strukturalnych — w szczególności przegląd schematu (§5), uwagi dotyczące funkcjonalności (§6) oraz znany dług techniczny (§11).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Budger — Dokumentacja Techniczna Przekazania Projektu</dc:title>
  <dc:creator/>
  <dc:language>pl</dc:language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lipca 2026</vt:lpwstr>
  </property>
  <property fmtid="{D5CDD505-2E9C-101B-9397-08002B2CF9AE}" pid="3" name="subtitle">
    <vt:lpwstr>Przygotowano dla zespołu programistycznego przejmującego rozwój aplikacji</vt:lpwstr>
  </property>
  <property fmtid="{D5CDD505-2E9C-101B-9397-08002B2CF9AE}" pid="4" name="toc">
    <vt:lpwstr>True</vt:lpwstr>
  </property>
  <property fmtid="{D5CDD505-2E9C-101B-9397-08002B2CF9AE}" pid="5" name="toc-title">
    <vt:lpwstr>Spis Treści</vt:lpwstr>
  </property>
</Properties>
</file>