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>
  <w:body>
    <w:tbl>
      <w:tblPr><w:tblW w:w="9200" w:type="dxa"/><w:tblLayout w:type="fixed"/><w:tblBorders>
        <w:top w:val="single" w:sz="8" w:space="0" w:color="808080"/><w:left w:val="single" w:sz="8" w:space="0" w:color="808080"/><w:bottom w:val="single" w:sz="8" w:space="0" w:color="808080"/><w:right w:val="single" w:sz="8" w:space="0" w:color="808080"/><w:insideH w:val="single" w:sz="8" w:space="0" w:color="808080"/><w:insideV w:val="single" w:sz="8" w:space="0" w:color="808080"/>
      </w:tblBorders></w:tblPr>
      <w:tblGrid><w:gridCol w:w="650"/><w:gridCol w:w="4300"/><w:gridCol w:w="1300"/><w:gridCol w:w="850"/><w:gridCol w:w="2100"/></w:tblGrid>
      <w:tr><w:tc><w:tcPr><w:tcW w:w="650" w:type="dxa"/><w:vAlign w:val="top"/><w:shd w:fill="E7E6E6"/></w:tcPr><w:p><w:r><w:rPr><w:b/></w:rPr><w:t xml:space="preserve">number</w:t></w:r></w:p></w:tc><w:tc><w:tcPr><w:tcW w:w="4300" w:type="dxa"/><w:vAlign w:val="top"/><w:shd w:fill="E7E6E6"/></w:tcPr><w:p><w:r><w:rPr><w:b/></w:rPr><w:t xml:space="preserve">problem description</w:t></w:r></w:p></w:tc><w:tc><w:tcPr><w:tcW w:w="1300" w:type="dxa"/><w:vAlign w:val="top"/><w:shd w:fill="E7E6E6"/></w:tcPr><w:p><w:r><w:rPr><w:b/></w:rPr><w:t xml:space="preserve">status (solved/pending)</w:t></w:r></w:p></w:tc><w:tc><w:tcPr><w:tcW w:w="850" w:type="dxa"/><w:vAlign w:val="top"/><w:shd w:fill="E7E6E6"/></w:tcPr><w:p><w:r><w:rPr><w:b/></w:rPr><w:t xml:space="preserve">severity score</w:t></w:r></w:p></w:tc><w:tc><w:tcPr><w:tcW w:w="2100" w:type="dxa"/><w:vAlign w:val="top"/><w:shd w:fill="E7E6E6"/></w:tcPr><w:p><w:r><w:rPr><w:b/></w:rPr><w:t xml:space="preserve">suggested next move</w:t></w:r></w:p></w:tc></w:tr>
      <w:tr><w:tc><w:tcPr><w:tcW w:w="650" w:type="dxa"/><w:vAlign w:val="top"/></w:tcPr><w:p><w:r><w:t xml:space="preserve">1</w:t></w:r></w:p></w:tc><w:tc><w:tcPr><w:tcW w:w="4300" w:type="dxa"/><w:vAlign w:val="top"/></w:tcPr><w:p><w:r><w:t xml:space="preserve">Transaction breakdown finalization: POST /api/transactions/:id/breakdown maps async enrichTransaction(...) without await Promise.all. The response can contain unresolved Promise objects instead of created transaction records, breaking the post-submit flow.</w:t></w:r></w:p></w:tc><w:tc><w:tcPr><w:tcW w:w="1300" w:type="dxa"/><w:vAlign w:val="top"/></w:tcPr><w:p><w:r><w:t xml:space="preserve">pending</w:t></w:r></w:p></w:tc><w:tc><w:tcPr><w:tcW w:w="850" w:type="dxa"/><w:vAlign w:val="top"/></w:tcPr><w:p><w:r><w:t xml:space="preserve">1</w:t></w:r></w:p></w:tc><w:tc><w:tcPr><w:tcW w:w="2100" w:type="dxa"/><w:vAlign w:val="top"/></w:tcPr><w:p><w:r><w:t xml:space="preserve">Audit extended-swipe deletion: touch handlers, row unmount timing, mutation queue behavior, and the 204 response path.</w:t></w:r></w:p></w:tc></w:tr>
<w:tr><w:tc><w:tcPr><w:tcW w:w="650" w:type="dxa"/><w:vAlign w:val="top"/></w:tcPr><w:p><w:r><w:t xml:space="preserve">2</w:t></w:r></w:p></w:tc><w:tc><w:tcPr><w:tcW w:w="4300" w:type="dxa"/><w:vAlign w:val="top"/></w:tcPr><w:p><w:r><w:t xml:space="preserve">Extended-swipe deletion: the row is translated off-screen and onDelete() fires immediately, but no failure callback restores the row. A hanging or failed DELETE leaves the row inaccessible, while the mutation in-flight guard can block later delete actions.</w:t></w:r></w:p></w:tc><w:tc><w:tcPr><w:tcW w:w="1300" w:type="dxa"/><w:vAlign w:val="top"/></w:tcPr><w:p><w:r><w:t xml:space="preserve">pending</w:t></w:r></w:p></w:tc><w:tc><w:tcPr><w:tcW w:w="850" w:type="dxa"/><w:vAlign w:val="top"/></w:tcPr><w:p><w:r><w:t xml:space="preserve">3</w:t></w:r></w:p></w:tc><w:tc><w:tcPr><w:tcW w:w="2100" w:type="dxa"/><w:vAlign w:val="top"/></w:tcPr><w:p><w:r><w:t xml:space="preserve">Audit touch-cancel and vertical-scroll interruption paths for offsets or timers that remain active after the gesture ends.</w:t></w:r></w:p></w:tc></w:tr>
<w:tr><w:tc><w:tcPr><w:tcW w:w="650" w:type="dxa"/><w:vAlign w:val="top"/></w:tcPr><w:p><w:r><w:t xml:space="preserve">3</w:t></w:r></w:p></w:tc><w:tc><w:tcPr><w:tcW w:w="4300" w:type="dxa"/><w:vAlign w:val="top"/></w:tcPr><w:p><w:r><w:t xml:space="preserve">Swipe cancellation: onTouchCancel() clears the long-press timer but does not reset the row offset or snap state. A browser-cancelled gesture after horizontal movement can leave a transaction row partially or fully translated and apparently frozen.</w:t></w:r></w:p></w:tc><w:tc><w:tcPr><w:tcW w:w="1300" w:type="dxa"/><w:vAlign w:val="top"/></w:tcPr><w:p><w:r><w:t xml:space="preserve">pending</w:t></w:r></w:p></w:tc><w:tc><w:tcPr><w:tcW w:w="850" w:type="dxa"/><w:vAlign w:val="top"/></w:tcPr><w:p><w:r><w:t xml:space="preserve">2</w:t></w:r></w:p></w:tc><w:tc><w:tcPr><w:tcW w:w="2100" w:type="dxa"/><w:vAlign w:val="top"/></w:tcPr><w:p><w:r><w:t xml:space="preserve">Audit tx-swipe-open coordination and snap animation timers across multiple rows for stale event state or out-of-order transitions.</w:t></w:r></w:p></w:tc></w:tr>
<w:tr><w:tc><w:tcPr><w:tcW w:w="650" w:type="dxa"/><w:vAlign w:val="top"/></w:tcPr><w:p><w:r><w:t xml:space="preserve">4</w:t></w:r></w:p></w:tc><w:tc><w:tcPr><w:tcW w:w="4300" w:type="dxa"/><w:vAlign w:val="top"/></w:tcPr><w:p><w:r><w:t xml:space="preserve">Swipe animation timing: snapTo() starts a new 340 ms setTimeout on every snap without cancelling the prior timer. Rapid gestures can let an old callback turn animation off during a newer transition, producing stale row state and unreliable swipe interaction.</w:t></w:r></w:p></w:tc><w:tc><w:tcPr><w:tcW w:w="1300" w:type="dxa"/><w:vAlign w:val="top"/></w:tcPr><w:p><w:r><w:t xml:space="preserve">pending</w:t></w:r></w:p></w:tc><w:tc><w:tcPr><w:tcW w:w="850" w:type="dxa"/><w:vAlign w:val="top"/></w:tcPr><w:p><w:r><w:t xml:space="preserve">2</w:t></w:r></w:p></w:tc><w:tc><w:tcPr><w:tcW w:w="2100" w:type="dxa"/><w:vAlign w:val="top"/></w:tcPr><w:p><w:r><w:t xml:space="preserve">Audit transaction-list rendering and DELETE response handling for stale rows, blocked refreshes, or mutations that never release their in-flight guard.</w:t></w:r></w:p></w:tc></w:tr>
<w:tr><w:tc><w:tcPr><w:tcW w:w="650" w:type="dxa"/><w:vAlign w:val="top"/></w:tcPr><w:p><w:r><w:t xml:space="preserve">5</w:t></w:r></w:p></w:tc><w:tc><w:tcPr><w:tcW w:w="4300" w:type="dxa"/><w:vAlign w:val="top"/></w:tcPr><w:p><w:r><w:t xml:space="preserve">Shared request timeout gap: customFetch() and apiFetch() pass requests to fetch() without an AbortController timeout or cancellation policy. A request that never resolves leaves isPending/query promises active indefinitely, so controls can stay disabled and the app can appear frozen.</w:t></w:r></w:p></w:tc><w:tc><w:tcPr><w:tcW w:w="1300" w:type="dxa"/><w:vAlign w:val="top"/></w:tcPr><w:p><w:r><w:t xml:space="preserve">pending</w:t></w:r></w:p></w:tc><w:tc><w:tcPr><w:tcW w:w="850" w:type="dxa"/><w:vAlign w:val="top"/></w:tcPr><w:p><w:r><w:t xml:space="preserve">4</w:t></w:r></w:p></w:tc><w:tc><w:tcPr><w:tcW w:w="2100" w:type="dxa"/><w:vAlign w:val="top"/></w:tcPr><w:p><w:r><w:t xml:space="preserve">Audit direct fetch() call sites that bypass the shared request layers for their own indefinite waits, missing error handling, or stuck loading state.</w:t></w:r></w:p></w:tc></w:tr>
<w:tr><w:tc><w:tcPr><w:tcW w:w="650" w:type="dxa"/><w:vAlign w:val="top"/></w:tcPr><w:p><w:r><w:t xml:space="preserve">6</w:t></w:r></w:p></w:tc><w:tc><w:tcPr><w:tcW w:w="4300" w:type="dxa"/><w:vAlign w:val="top"/></w:tcPr><w:p><w:r><w:t xml:space="preserve">Category sharing mutations bypass CSRF: the local apiFetch() helper in Categories.tsx uses bare fetch() for POST category-share and proposal accept/reject requests. The backend csrfProtection middleware rejects these calls with HTTP 403, so the actions never complete.</w:t></w:r></w:p></w:tc><w:tc><w:tcPr><w:tcW w:w="1300" w:type="dxa"/><w:vAlign w:val="top"/></w:tcPr><w:p><w:r><w:t xml:space="preserve">pending</w:t></w:r></w:p></w:tc><w:tc><w:tcPr><w:tcW w:w="850" w:type="dxa"/><w:vAlign w:val="top"/></w:tcPr><w:p><w:r><w:t xml:space="preserve">2</w:t></w:r></w:p></w:tc><w:tc><w:tcPr><w:tcW w:w="2100" w:type="dxa"/><w:vAlign w:val="top"/></w:tcPr><w:p><w:r><w:t xml:space="preserve">Audit direct async actions for loading-state cleanup and rejected-promise handling, especially handlers that use try/finally without a catch.</w:t></w:r></w:p></w:tc></w:tr>
<w:tr><w:tc><w:tcPr><w:tcW w:w="650" w:type="dxa"/><w:vAlign w:val="top"/></w:tcPr><w:p><w:r><w:t xml:space="preserve">7</w:t></w:r></w:p></w:tc><w:tc><w:tcPr><w:tcW w:w="4300" w:type="dxa"/><w:vAlign w:val="top"/></w:tcPr><w:p><w:r><w:t xml:space="preserve">Household async-action error handling: accept/decline split, Great Larder approve/reject, and head-request approve/decline handlers use try/finally without catch. A network/API rejection resets loading but escapes as an unhandled promise rejection with no user-facing error.</w:t></w:r></w:p></w:tc><w:tc><w:tcPr><w:tcW w:w="1300" w:type="dxa"/><w:vAlign w:val="top"/></w:tcPr><w:p><w:r><w:t xml:space="preserve">pending</w:t></w:r></w:p></w:tc><w:tc><w:tcPr><w:tcW w:w="850" w:type="dxa"/><w:vAlign w:val="top"/></w:tcPr><w:p><w:r><w:t xml:space="preserve">2</w:t></w:r></w:p></w:tc><w:tc><w:tcPr><w:tcW w:w="2100" w:type="dxa"/><w:vAlign w:val="top"/></w:tcPr><w:p><w:r><w:t xml:space="preserve">Audit backend routes for promise arrays and fire-and-forget async work that can return malformed responses, reject after send, or crash the process.</w:t></w:r></w:p></w:tc></w:tr>
    </w:tbl>
    <w:p><w:r><w:rPr><w:i/></w:rPr><w:t>Current audit scope: severity scores 1–4. Workflow items 1–6 define the audit process; severity scores 5–10 are not being used.</w:t></w:r></p>
    <w:sectPr><w:pgSz w:w="11906" w:h="16838"/><w:pgMar w:top="1080" w:right="1080" w:bottom="1080" w:left="1080" w:header="720" w:footer="720" w:gutter="0"/></w:sectPr>
  </w:body>
</w:document>
</file>

<file path=word/styles.xml><?xml version="1.0" encoding="utf-8"?>
<w:styles xmlns:w="http://schemas.openxmlformats.org/wordprocessingml/2006/main">
  <w:docDefaults>
    <w:rPrDefault>
      <w:rPr>
        <w:sz w:val="22"/>
        <w:szCs w:val="22"/>
      </w:rPr>
    </w:rPrDefault>
    <w:pPrDefault>
      <w:pPr>
        <w:spacing w:after="120"/>
      </w:pPr>
    </w:pPrDefault>
  </w:docDefaults>
  <w:style w:type="paragraph" w:default="1" w:styleId="Normal">
    <w:name w:val="Normal"/>
    <w:rPr>
      <w:rFonts w:ascii="Aptos" w:hAnsi="Aptos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Problem Tracker</dc:title>
  <dc:subject>Problem tracking table</dc:subject>
  <dc:creator>OpenAI</dc:creator>
</cp:coreProperties>
</file>