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pending</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Design one shared timeout/cancellation policy for interactive requests and queue replay, preserving upload-specific limits; test network hangs, retries, and loading-state release.</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the mutation rejection, keep the sheet open, and show an actionable error; test permission, network, and stale-session failures.</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network and parsing failures, set the split modal error, and verify the loading flag releases for HTTP, offline, and rejected-fetch paths.</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and surface deletion failures, preserve the confirmation state, and test server rejection, offline, and successful cache-clearing paths.</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catch/error feedback and close or preserve the prompt deliberately; test rule lookup failure, update failure, and successful disable behavior.</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Wrap all invite actions in catch/finally, restore a retryable state, and surface an actionable error; await/catch auto-accept from the effect and test network, CSRF, HTTP, invalidation, accept, and decline failures.</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Use an abortable upload request and clear the timeout; distinguish cancellation from a real failure and test stalled upload, retry, late server completion, and successful upload.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Route the proposal mutations through the shared CSRF-aware helper, remove the duplicate wrapper, and add success, 403, network-failure, and loading-state tests.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Perform the balance validation and both ledger inserts in one database transaction with concurrency-safe locking/conditional checks; test mid-transaction failure and simultaneous sends.</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Require an ownership or explicit household-authorization predicate in the delete query, and perform deletion plus goal-state/activity recalculation in one authorized transaction; add cross-user and household authorization tests.</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Claim the pending proposal and create the category in one transaction with a row lock or conditional status update; roll back on failure and add concurrent-accept and mid-write failure tests.</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transaction creation, unique monthly-log claim, and optional Larder credit in one transaction; treat a lost log claim as a no-op with rollback, and add concurrent-apply and mid-write failure tests.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Remount the child tree or provide a full-page reload fallback when retrying, while preserving a safe error message; test deterministic render failure and successful recovery.</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Only complete onboarding after the server update succeeds; on failure keep the step open, show retryable feedback, and preserve entered values. Add API-failure, retry, and successful-completion tests.</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Pass the mapped currencySymbol(prefs.currency) value to Live Activity and add native payload assertions for USD, EUR, GBP, and PLN.</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Resolve the CSRF URL from the service-worker registration scope or persist a base-aware URL with each queued operation; cover background-sync replay under a subpath, including token success and 403 retry.</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Catch refresh failures inside the gesture handler or make the refresh callback non-rejecting, show retryable feedback, and retain the existing finally reset; test a failed active-query refetch through both touchend and touchcancel.</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Use an ownership-scoped UPDATE with a checked returned row, return 404 or 409 when no row is updated, and add a concurrent-delete regression test for the PATCH flow.</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