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personal and household recurring-payment application now claims the monthly log and writes the transaction plus optional Larder credit in one atomic transaction; concurrent losers are no-ops and failures roll back all writes.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currency conversion now validates rates before any writes and updates all related transaction, category, recurring-payment, user, and household budget records inside one atomic transaction. Conversion retries are idempotent after commit, and failed transactions roll back together.</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save-from-goal now locks the goal and validates the remaining contributor balance inside one transaction, then writes the negative goal contribution and positive Larder credit atomically. Failed writes roll back together, competing saves serialize safely, and regression tests cover failure, concurrency, and conservation.</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fund/spend now write the transaction and ledger entry in one database transaction; category IDs are validated against the caller; spending locks the household row while checking the selected bucket/currency balance, preventing concurrent overdrafts. Added rollback, category-ownership, and concurrent-spend regression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