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atomically with a transaction/row lock or a partial unique index plus controlled conflict handling; add concurrent proposal regression tests.</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Replace the cancel-and-insert sequence with one transaction, preserving the prior proposal until the replacement is safely created; add mid-write failure and retry tests.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Delete the recurring-payment definition and its logs atomically in a transaction, preserve existing applied transactions, and add failure-injection plus delete-then-reload/reapply regression tests for personal and household payments.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Consume the reset token with an atomic conditional UPDATE/transaction that requires the still-present token and expiry, return success only when one request claims it, and add concurrent reset-link tests.</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an idempotency key or deterministic source-event fingerprint for Apple webhook writes, claim it atomically before insertion, and add retry/lost-response tests that prove one purchase creates one transaction.</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When transactionId is provided, require ownership by the caller (or an explicitly permitted household rule), reject missing/deleted/foreign transactions, and add cross-user and household authorization tests.</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database unique constraint on (user_id, activity_id) and use an atomic upsert for registration; add concurrent registration and duplicate-push regression tests.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the category to belong to the session user before recording a merchant rule, scope enrichRule's category query by userId, and add cross-user category privacy tests.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Apply the same personal-versus-household goal authorization rule used by POST /goal-contributions before any Larder mutation, and add cross-user personal-goal and same-household goal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