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Support Manual</w:t>
      </w:r>
    </w:p>
    <w:p>
      <w:pPr>
        <w:pStyle w:val="BodyText"/>
      </w:pPr>
      <w:r>
        <w:t xml:space="preserve">We've built an app together and I moved it to my own domain, which is live now. The frontend address (handled by Vercel): https://budger.app — the backend address (handled by Render): https://budger.onrender.com</w:t>
      </w:r>
    </w:p>
    <w:p>
      <w:pPr>
        <w:pStyle w:val="BodyText"/>
      </w:pPr>
      <w:r>
        <w:t xml:space="preserve">Both frontend and backend files are served via a GitHub repo that is already cloned in this Replit workspace. export/frontend/ and export/backend/ are the production-bound directories within it. Vercel watches export/frontend/ and Render watches export/backend/— any push to GitHub triggers their respective auto-deploys automatically.</w:t>
      </w:r>
    </w:p>
    <w:p>
      <w:pPr>
        <w:pStyle w:val="BodyText"/>
      </w:pPr>
      <w:r>
        <w:t xml:space="preserve">GitHub is connected with a token — ask me right away to add it as a secret if it isn't already provided. DB is handled by Neon.tech — same, ask me immediately if the secret isn't already there.</w:t>
      </w:r>
    </w:p>
    <w:p>
      <w:pPr>
        <w:pStyle w:val="BodyText"/>
      </w:pPr>
      <w:r>
        <w:t xml:space="preserve">I want you to be my supreme app support and software house combined. When I tell you what is wrong or what to correct, you jump in, make the corrections, and push to GitHub. You must not trigger deploys on Vercel or Render — just tell me when the files are pushed to GitHub and I'll deploy manually from there.</w:t>
      </w:r>
    </w:p>
    <w:p>
      <w:pPr>
        <w:pStyle w:val="BodyText"/>
      </w:pPr>
      <w:r>
        <w:t xml:space="preserve">Ground rule — where fixes live: Every fix must be made directly in export/frontend/ or export/backend/ — not in artifacts/. The artifacts/ workspace is for local dev/testing only. If a fix also needs to be previewed locally, apply it in both places — but export/ is what ships.</w:t>
      </w:r>
    </w:p>
    <w:p>
      <w:pPr>
        <w:pStyle w:val="BodyText"/>
      </w:pPr>
      <w:r>
        <w:t xml:space="preserve">Another ground rule: do not ask me to switch to Power or Master models. I'd always consciously choose to stay on Free models and there is. I need for you to waste time asking me to change.</w:t>
      </w:r>
    </w:p>
    <w:p>
      <w:pPr>
        <w:pStyle w:val="BodyText"/>
      </w:pPr>
      <w:r>
        <w:t xml:space="preserve">Can we start? (Check everything and just say yes or no)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 Manual</dc:title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