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the mutation rejection, keep the sheet open, and show an actionable error; test permission, network, and stale-session failures.</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network and parsing failures, set the split modal error, and verify the loading flag releases for HTTP, offline, and rejected-fetch paths.</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and surface deletion failures, preserve the confirmation state, and test server rejection, offline, and successful cache-clearing paths.</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catch/error feedback and close or preserve the prompt deliberately; test rule lookup failure, update failure, and successful disable behavior.</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all invite actions in catch/finally, restore a retryable state, and surface an actionable error; await/catch auto-accept from the effect and test network, CSRF, HTTP, invalidation, accept, and decline failures.</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abortable upload request and clear the timeout; distinguish cancellation from a real failure and test stalled upload, retry, late server completion, and successful upload.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Route the proposal mutations through the shared CSRF-aware helper, remove the duplicate wrapper, and add success, 403, network-failure, and loading-state tests.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and create the category in one transaction with a row lock or conditional status update; roll back on failure and add concurrent-accept and mid-write failure tests.</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Remount the child tree or provide a full-page reload fallback when retrying, while preserving a safe error message; test deterministic render failure and successful recovery.</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Only complete onboarding after the server update succeeds; on failure keep the step open, show retryable feedback, and preserve entered values. Add API-failure, retry, and successful-completion tests.</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Pass the mapped currencySymbol(prefs.currency) value to Live Activity and add native payload assertions for USD, EUR, GBP, and PLN.</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Resolve the CSRF URL from the service-worker registration scope or persist a base-aware URL with each queued operation; cover background-sync replay under a subpath, including token success and 403 retry.</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Catch refresh failures inside the gesture handler or make the refresh callback non-rejecting, show retryable feedback, and retain the existing finally reset; test a failed active-query refetch through both touchend and touchcancel.</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an ownership-scoped UPDATE with a checked returned row, return 404 or 409 when no row is updated, and add a concurrent-delete regression test for the PATCH flow.</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Await the delete with explicit success/error handling, restore the alarm on failure, and show retryable feedback; cover rejected DELETE, non-OK response, and successful deletion.</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Wrap permission and alarm creation in explicit error handling, keep the panel usable, and show retryable feedback; cover permission rejection, non-OK POST, network failure, and successful add.</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Use try/finally to guarantee preview-state cleanup, catch media/haptic failures, and keep the preview action retryable; test vibration throw, audio load failure, and successful preview.</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Catch discard failures, keep the failed operation visible when deletion did not commit, and show retryable feedback; test IndexedDB transaction failure and successful discard.</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Perform the category update and total-budget floor reconciliation in one transaction, or make reconciliation retryable and expose failure clearly; add failure-injection tests for the update and user-budget write.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Clear the busy state and surface an actionable error in the visibility mutation's error/settled path; keep the dialog retryable and test permission, network, and successful visibility changes.</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Add per-action pending/error handling with catch/finally, preserve the proposal on failure, and allow retry; cover approval/decline failures for both share and edit proposals.</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atomically with a transaction/row lock or a partial unique index plus controlled conflict handling; add concurrent proposal regression tests.</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Replace the cancel-and-insert sequence with one transaction, preserving the prior proposal until the replacement is safely created; add mid-write failure and retry tests.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pending</w:t>
            </w:r>
          </w:p>
        </w:tc>
        <w:tc>
          <w:tcPr>
            <w:tcW w:w="850" w:type="dxa"/>
            <w:vAlign w:val="top"/>
          </w:tcPr>
          <w:p>
            <w:r>
              <w:t xml:space="preserve">2</w:t>
            </w:r>
          </w:p>
        </w:tc>
        <w:tc>
          <w:tcPr>
            <w:tcW w:w="2100" w:type="dxa"/>
            <w:vAlign w:val="top"/>
          </w:tcPr>
          <w:p>
            <w:r>
              <w:t xml:space="preserve">Handle permission rejection and PATCH failure explicitly, rollback the optimistic alarm state when needed, and provide retry feedback; test grant, denial, permission rejection, and network failure while toggling an existing reminder.</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Delete the recurring-payment definition and its logs atomically in a transaction, preserve existing applied transactions, and add failure-injection plus delete-then-reload/reapply regression tests for personal and household payments.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Consume the reset token with an atomic conditional UPDATE/transaction that requires the still-present token and expiry, return success only when one request claims it, and add concurrent reset-link tests.</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an idempotency key or deterministic source-event fingerprint for Apple webhook writes, claim it atomically before insertion, and add retry/lost-response tests that prove one purchase creates one transaction.</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When transactionId is provided, require ownership by the caller (or an explicitly permitted household rule), reject missing/deleted/foreign transactions, and add cross-user and household authorization tests.</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