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solved</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solved</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shared API and offline replay requests now abort after 15 seconds, while receipt uploads retain a 60-second limit and caller cancellation.</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solved</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solved</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role-save rejections now stay in the open member sheet, clear the saving state, and show retryable feedback.</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split-submit network and parsing failures now populate the modal error and always release loading state.</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household-delete HTTP and network failures now show an error, keep confirmation open, and always release loading state.</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auto-category rule lookup/update failures now show feedback, preserve the prompt for retry, and disable only after success.</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invite accept/decline and auto-accept failures now recover to a retryable state with feedback and no unhandled rejection.</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solved</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solved</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receipt uploads now use an AbortController with a cleared timeout; timeout cancellation is distinguished from real failures and late uploads are aborted.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proposal accept/reject already use the shared CSRF-aware apiFetch helper; no bare-fetch proposal mutation path remains.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Great Larder transfers now lock the sender balance and commit the personal debit plus household credit atomically.</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goal-contribution deletion now requires contributor ownership or current household membership, and deletion plus goal-state/activity recalculation is atomic.</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category proposal acceptance now claims the pending row conditionally and creates the category in the same transaction, so concurrent accepts cannot duplicate categories and failed creation rolls back the claim.</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personal and household recurring-payment application now claims the monthly log and writes the transaction plus optional Larder credit in one atomic transaction; concurrent losers are no-ops and failures roll back all writes.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currency conversion now validates rates before any writes and updates all related transaction, category, recurring-payment, user, and household budget records inside one atomic transaction. Conversion retries are idempotent after commit, and failed transactions roll back together.</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save-from-goal now locks the goal and validates the remaining contributor balance inside one transaction, then writes the negative goal contribution and positive Larder credit atomically. Failed writes roll back together, competing saves serialize safely, and regression tests cover failure, concurrency, and conservation.</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Error Boundary retry now reloads the full app, guaranteeing a fresh child tree when the render failure is deterministic.</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onboarding now completes only after the profile update and cache invalidation succeed; persistence failures keep the selected values and show retryable feedback.</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Dashboard maps ISO currency codes through currencySymbol() before sending the Live Activity payload.</w:t>
            </w:r>
          </w:p>
        </w:tc>
      </w:tr>
      <w:tr>
        <w:tc>
          <w:tcPr>
            <w:tcW w:w="650" w:type="dxa"/>
            <w:vAlign w:val="top"/>
          </w:tcPr>
          <w:p>
            <w:r>
              <w:t xml:space="preserve">27</w:t>
            </w:r>
          </w:p>
        </w:tc>
        <w:tc>
          <w:tcPr>
            <w:tcW w:w="4300" w:type="dxa"/>
            <w:vAlign w:val="top"/>
          </w:tcPr>
          <w:p>
            <w:r>
              <w: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service-worker CSRF replay resolves api/csrf-token against registration scope, preserving deployed base paths.</w:t>
            </w:r>
          </w:p>
        </w:tc>
      </w:tr>
      <w:tr>
        <w:tc>
          <w:tcPr>
            <w:tcW w:w="650" w:type="dxa"/>
            <w:vAlign w:val="top"/>
          </w:tcPr>
          <w:p>
            <w:r>
              <w:t xml:space="preserve">29</w:t>
            </w:r>
          </w:p>
        </w:tc>
        <w:tc>
          <w:tcPr>
            <w:tcW w:w="4300" w:type="dxa"/>
            <w:vAlign w:val="top"/>
          </w:tcPr>
          <w:p>
            <w:r>
              <w: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pull-to-refresh now catches refetch failures in both the gesture hook and refresh callback, resets the cooldown for retry, and shows failure feedback without unhandled rejections.</w:t>
            </w:r>
          </w:p>
        </w:tc>
      </w:tr>
      <w:tr>
        <w:tc>
          <w:tcPr>
            <w:tcW w:w="650" w:type="dxa"/>
            <w:vAlign w:val="top"/>
          </w:tcPr>
          <w:p>
            <w:r>
              <w:t xml:space="preserve">30</w:t>
            </w:r>
          </w:p>
        </w:tc>
        <w:tc>
          <w:tcPr>
            <w:tcW w:w="4300" w:type="dxa"/>
            <w:vAlign w:val="top"/>
          </w:tcPr>
          <w:p>
            <w:r>
              <w: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Add database uniqueness for the nullable category/month rule using an appropriate partial index, make creation conditional/transaction-safe, and map unique violations to 409; add concurrent no-transaction and transaction-backed regression tests.</w:t>
            </w:r>
          </w:p>
        </w:tc>
      </w:tr>
      <w:tr>
        <w:tc>
          <w:tcPr>
            <w:tcW w:w="650" w:type="dxa"/>
            <w:vAlign w:val="top"/>
          </w:tcPr>
          <w:p>
            <w:r>
              <w:t xml:space="preserve">31</w:t>
            </w:r>
          </w:p>
        </w:tc>
        <w:tc>
          <w:tcPr>
            <w:tcW w:w="4300" w:type="dxa"/>
            <w:vAlign w:val="top"/>
          </w:tcPr>
          <w:p>
            <w:r>
              <w: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PATCH now updates with ownership in the WHERE clause and returns 404 when the row disappears before the update, avoiding formatStretch(undefined).</w:t>
            </w:r>
          </w:p>
        </w:tc>
      </w:tr>
      <w:tr>
        <w:tc>
          <w:tcPr>
            <w:tcW w:w="650" w:type="dxa"/>
            <w:vAlign w:val="top"/>
          </w:tcPr>
          <w:p>
            <w:r>
              <w:t xml:space="preserve">32</w:t>
            </w:r>
          </w:p>
        </w:tc>
        <w:tc>
          <w:tcPr>
            <w:tcW w:w="4300" w:type="dxa"/>
            <w:vAlign w:val="top"/>
          </w:tcPr>
          <w:p>
            <w:r>
              <w:t xml:space="preserve">finished</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transaction creation and edits now send goal/Larder allocation in the same atomic backend transaction as the transaction write; replacement failures roll back, and the editor remains open for retry. The frontend allocation path now compiles and passes production build checks.</w:t>
            </w:r>
          </w:p>
        </w:tc>
      </w:tr>
      <w:tr>
        <w:tc>
          <w:tcPr>
            <w:tcW w:w="650" w:type="dxa"/>
            <w:vAlign w:val="top"/>
          </w:tcPr>
          <w:p>
            <w:r>
              <w:t xml:space="preserve">33</w:t>
            </w:r>
          </w:p>
        </w:tc>
        <w:tc>
          <w:tcPr>
            <w:tcW w:w="4300" w:type="dxa"/>
            <w:vAlign w:val="top"/>
          </w:tcPr>
          <w:p>
            <w:r>
              <w: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w:t>
            </w:r>
          </w:p>
        </w:tc>
        <w:tc>
          <w:tcPr>
            <w:tcW w:w="1300" w:type="dxa"/>
            <w:vAlign w:val="top"/>
          </w:tcPr>
          <w:p>
            <w:r>
              <w:t xml:space="preserve">solved</w:t>
            </w:r>
          </w:p>
        </w:tc>
        <w:tc>
          <w:tcPr>
            <w:tcW w:w="850" w:type="dxa"/>
            <w:vAlign w:val="top"/>
          </w:tcPr>
          <w:p>
            <w:r>
              <w:t xml:space="preserve">1</w:t>
            </w:r>
          </w:p>
        </w:tc>
        <w:tc>
          <w:tcPr>
            <w:tcW w:w="2100" w:type="dxa"/>
            <w:vAlign w:val="top"/>
          </w:tcPr>
          <w:p>
            <w:r>
              <w:t xml:space="preserve">Add a catch that records a recoverable rates error or leaves the existing empty state intentionally; verify profile opening under offline and rejected-rates responses without an unhandled rejection.</w:t>
            </w:r>
          </w:p>
        </w:tc>
      </w:tr>
      <w:tr>
        <w:tc>
          <w:tcPr>
            <w:tcW w:w="650" w:type="dxa"/>
            <w:vAlign w:val="top"/>
          </w:tcPr>
          <w:p>
            <w:r>
              <w:t xml:space="preserve">34</w:t>
            </w:r>
          </w:p>
        </w:tc>
        <w:tc>
          <w:tcPr>
            <w:tcW w:w="4300" w:type="dxa"/>
            <w:vAlign w:val="top"/>
          </w:tcPr>
          <w:p>
            <w:r>
              <w: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deletion now treats non-OK responses and network failures as errors, restores the removed alarm, and shows retryable feedback.</w:t>
            </w:r>
          </w:p>
        </w:tc>
      </w:tr>
      <w:tr>
        <w:tc>
          <w:tcPr>
            <w:tcW w:w="650" w:type="dxa"/>
            <w:vAlign w:val="top"/>
          </w:tcPr>
          <w:p>
            <w:r>
              <w:t xml:space="preserve">35</w:t>
            </w:r>
          </w:p>
        </w:tc>
        <w:tc>
          <w:tcPr>
            <w:tcW w:w="4300" w:type="dxa"/>
            <w:vAlign w:val="top"/>
          </w:tcPr>
          <w:p>
            <w:r>
              <w: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creation now catches permission/API failures, releases its busy state, and keeps the Add action retryable with feedback.</w:t>
            </w:r>
          </w:p>
        </w:tc>
      </w:tr>
      <w:tr>
        <w:tc>
          <w:tcPr>
            <w:tcW w:w="650" w:type="dxa"/>
            <w:vAlign w:val="top"/>
          </w:tcPr>
          <w:p>
            <w:r>
              <w:t xml:space="preserve">36</w:t>
            </w:r>
          </w:p>
        </w:tc>
        <w:tc>
          <w:tcPr>
            <w:tcW w:w="4300" w:type="dxa"/>
            <w:vAlign w:val="top"/>
          </w:tcPr>
          <w:p>
            <w:r>
              <w: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w:t>
            </w:r>
          </w:p>
        </w:tc>
        <w:tc>
          <w:tcPr>
            <w:tcW w:w="1300" w:type="dxa"/>
            <w:vAlign w:val="top"/>
          </w:tcPr>
          <w:p>
            <w:r>
              <w:t xml:space="preserve">solved</w:t>
            </w:r>
          </w:p>
        </w:tc>
        <w:tc>
          <w:tcPr>
            <w:tcW w:w="850" w:type="dxa"/>
            <w:vAlign w:val="top"/>
          </w:tcPr>
          <w:p>
            <w:r>
              <w:t xml:space="preserve">1</w:t>
            </w:r>
          </w:p>
        </w:tc>
        <w:tc>
          <w:tcPr>
            <w:tcW w:w="2100" w:type="dxa"/>
            <w:vAlign w:val="top"/>
          </w:tcPr>
          <w:p>
            <w:r>
              <w:t xml:space="preserve">Catch permission failures in the smart-alert toggle, preserve the prior preference, and show the existing notification-permission error; cover permission rejection and denied/granted paths.</w:t>
            </w:r>
          </w:p>
        </w:tc>
      </w:tr>
      <w:tr>
        <w:tc>
          <w:tcPr>
            <w:tcW w:w="650" w:type="dxa"/>
            <w:vAlign w:val="top"/>
          </w:tcPr>
          <w:p>
            <w:r>
              <w:t xml:space="preserve">37</w:t>
            </w:r>
          </w:p>
        </w:tc>
        <w:tc>
          <w:tcPr>
            <w:tcW w:w="4300" w:type="dxa"/>
            <w:vAlign w:val="top"/>
          </w:tcPr>
          <w:p>
            <w:r>
              <w: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notification preview now catches media/haptic failures and always releases preview state so the control remains retryable.</w:t>
            </w:r>
          </w:p>
        </w:tc>
      </w:tr>
      <w:tr>
        <w:tc>
          <w:tcPr>
            <w:tcW w:w="650" w:type="dxa"/>
            <w:vAlign w:val="top"/>
          </w:tcPr>
          <w:p>
            <w:r>
              <w:t xml:space="preserve">38</w:t>
            </w:r>
          </w:p>
        </w:tc>
        <w:tc>
          <w:tcPr>
            <w:tcW w:w="4300" w:type="dxa"/>
            <w:vAlign w:val="top"/>
          </w:tcPr>
          <w:p>
            <w:r>
              <w: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Enforce the per-user cap atomically with a transaction/locking strategy or an equivalent database invariant, and add concurrent-create tests proving the limit cannot be exceeded.</w:t>
            </w:r>
          </w:p>
        </w:tc>
      </w:tr>
      <w:tr>
        <w:tc>
          <w:tcPr>
            <w:tcW w:w="650" w:type="dxa"/>
            <w:vAlign w:val="top"/>
          </w:tcPr>
          <w:p>
            <w:r>
              <w:t xml:space="preserve">39</w:t>
            </w:r>
          </w:p>
        </w:tc>
        <w:tc>
          <w:tcPr>
            <w:tcW w:w="4300" w:type="dxa"/>
            <w:vAlign w:val="top"/>
          </w:tcPr>
          <w:p>
            <w:r>
              <w: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Upsert the new subscription before removing obsolete rows, or wrap replacement in one transaction with a recovery-safe ordering; add failure-injection and concurrent-subscribe tests.</w:t>
            </w:r>
          </w:p>
        </w:tc>
      </w:tr>
      <w:tr>
        <w:tc>
          <w:tcPr>
            <w:tcW w:w="650" w:type="dxa"/>
            <w:vAlign w:val="top"/>
          </w:tcPr>
          <w:p>
            <w:r>
              <w:t xml:space="preserve">40</w:t>
            </w:r>
          </w:p>
        </w:tc>
        <w:tc>
          <w:tcPr>
            <w:tcW w:w="4300" w:type="dxa"/>
            <w:vAlign w:val="top"/>
          </w:tcPr>
          <w:p>
            <w:r>
              <w: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offline-operation discard now catches IndexedDB failures, keeps the operation visible, and shows retryable feedback while preventing duplicate clicks.</w:t>
            </w:r>
          </w:p>
        </w:tc>
      </w:tr>
      <w:tr>
        <w:tc>
          <w:tcPr>
            <w:tcW w:w="650" w:type="dxa"/>
            <w:vAlign w:val="top"/>
          </w:tcPr>
          <w:p>
            <w:r>
              <w:t xml:space="preserve">41</w:t>
            </w:r>
          </w:p>
        </w:tc>
        <w:tc>
          <w:tcPr>
            <w:tcW w:w="4300" w:type="dxa"/>
            <w:vAlign w:val="top"/>
          </w:tcPr>
          <w:p>
            <w:r>
              <w: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budget updates and total-budget floor reconciliation now run in one transaction, so a reconciliation failure rolls back the category change.</w:t>
            </w:r>
          </w:p>
        </w:tc>
      </w:tr>
      <w:tr>
        <w:tc>
          <w:tcPr>
            <w:tcW w:w="650" w:type="dxa"/>
            <w:vAlign w:val="top"/>
          </w:tcPr>
          <w:p>
            <w:r>
              <w:t xml:space="preserve">42</w:t>
            </w:r>
          </w:p>
        </w:tc>
        <w:tc>
          <w:tcPr>
            <w:tcW w:w="4300" w:type="dxa"/>
            <w:vAlign w:val="top"/>
          </w:tcPr>
          <w:p>
            <w:r>
              <w: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household-visibility updates now clear their busy state in onSettled and show retryable error feedback while keeping the dialog open on failure.</w:t>
            </w:r>
          </w:p>
        </w:tc>
      </w:tr>
      <w:tr>
        <w:tc>
          <w:tcPr>
            <w:tcW w:w="650" w:type="dxa"/>
            <w:vAlign w:val="top"/>
          </w:tcPr>
          <w:p>
            <w:r>
              <w:t xml:space="preserve">43</w:t>
            </w:r>
          </w:p>
        </w:tc>
        <w:tc>
          <w:tcPr>
            <w:tcW w:w="4300" w:type="dxa"/>
            <w:vAlign w:val="top"/>
          </w:tcPr>
          <w:p>
            <w:r>
              <w: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all four goal proposal actions now check HTTP responses, catch network/CSRF failures, release pending state, preserve failed proposals, and allow retry.</w:t>
            </w:r>
          </w:p>
        </w:tc>
      </w:tr>
      <w:tr>
        <w:tc>
          <w:tcPr>
            <w:tcW w:w="650" w:type="dxa"/>
            <w:vAlign w:val="top"/>
          </w:tcPr>
          <w:p>
            <w:r>
              <w:t xml:space="preserve">44</w:t>
            </w:r>
          </w:p>
        </w:tc>
        <w:tc>
          <w:tcPr>
            <w:tcW w:w="4300" w:type="dxa"/>
            <w:vAlign w:val="top"/>
          </w:tcPr>
          <w:p>
            <w:r>
              <w: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w:t>
            </w:r>
          </w:p>
        </w:tc>
        <w:tc>
          <w:tcPr>
            <w:tcW w:w="1300" w:type="dxa"/>
            <w:vAlign w:val="top"/>
          </w:tcPr>
          <w:p>
            <w:r>
              <w:t>finished</w:t>
            </w:r>
          </w:p>
        </w:tc>
        <w:tc>
          <w:tcPr>
            <w:tcW w:w="850" w:type="dxa"/>
            <w:vAlign w:val="top"/>
          </w:tcPr>
          <w:p>
            <w:r>
              <w:t xml:space="preserve">3</w:t>
            </w:r>
          </w:p>
        </w:tc>
        <w:tc>
          <w:tcPr>
            <w:tcW w:w="2100" w:type="dxa"/>
            <w:vAlign w:val="top"/>
          </w:tcPr>
          <w:p>
            <w:r>
              <w:t>Finished: a partial unique index now enforces one pending proposal per goal, and concurrent conflicts return 409.</w:t>
            </w:r>
          </w:p>
        </w:tc>
      </w:tr>
      <w:tr>
        <w:tc>
          <w:tcPr>
            <w:tcW w:w="650" w:type="dxa"/>
            <w:vAlign w:val="top"/>
          </w:tcPr>
          <w:p>
            <w:r>
              <w:t xml:space="preserve">45</w:t>
            </w:r>
          </w:p>
        </w:tc>
        <w:tc>
          <w:tcPr>
            <w:tcW w:w="4300" w:type="dxa"/>
            <w:vAlign w:val="top"/>
          </w:tcPr>
          <w:p>
            <w:r>
              <w: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w:t>
            </w:r>
          </w:p>
        </w:tc>
        <w:tc>
          <w:tcPr>
            <w:tcW w:w="1300" w:type="dxa"/>
            <w:vAlign w:val="top"/>
          </w:tcPr>
          <w:p>
            <w:r>
              <w:t>finished</w:t>
            </w:r>
          </w:p>
        </w:tc>
        <w:tc>
          <w:tcPr>
            <w:tcW w:w="850" w:type="dxa"/>
            <w:vAlign w:val="top"/>
          </w:tcPr>
          <w:p>
            <w:r>
              <w:t xml:space="preserve">3</w:t>
            </w:r>
          </w:p>
        </w:tc>
        <w:tc>
          <w:tcPr>
            <w:tcW w:w="2100" w:type="dxa"/>
            <w:vAlign w:val="top"/>
          </w:tcPr>
          <w:p>
            <w:r>
              <w:t>Finished: goal-edit replacement now locks the goal row and rolls back the prior-proposal cancellation if insertion fails.</w:t>
            </w:r>
          </w:p>
        </w:tc>
      </w:tr>
      <w:tr>
        <w:tc>
          <w:tcPr>
            <w:tcW w:w="650" w:type="dxa"/>
            <w:vAlign w:val="top"/>
          </w:tcPr>
          <w:p>
            <w:r>
              <w:t xml:space="preserve">46</w:t>
            </w:r>
          </w:p>
        </w:tc>
        <w:tc>
          <w:tcPr>
            <w:tcW w:w="4300" w:type="dxa"/>
            <w:vAlign w:val="top"/>
          </w:tcPr>
          <w:p>
            <w:r>
              <w: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personal Larder spending now validates the selected asset and writes the From Larder transaction plus deduction in one atomic database transaction; missing returned rows and deduction failures roll back the complete operation. Added regression coverage for success and mid-write failure.</w:t>
            </w:r>
          </w:p>
        </w:tc>
      </w:tr>
      <w:tr>
        <w:tc>
          <w:tcPr>
            <w:tcW w:w="650" w:type="dxa"/>
            <w:vAlign w:val="top"/>
          </w:tcPr>
          <w:p>
            <w:r>
              <w:t xml:space="preserve">47</w:t>
            </w:r>
          </w:p>
        </w:tc>
        <w:tc>
          <w:tcPr>
            <w:tcW w:w="4300" w:type="dxa"/>
            <w:vAlign w:val="top"/>
          </w:tcPr>
          <w:p>
            <w:r>
              <w: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personal Larder spends now lock the stable user row before reading balances, so concurrent requests serialize and re-check the selected asset after the earlier spend commits. Added simultaneous-spend and insufficient-after-race regression tests.</w:t>
            </w:r>
          </w:p>
        </w:tc>
      </w:tr>
      <w:tr>
        <w:tc>
          <w:tcPr>
            <w:tcW w:w="650" w:type="dxa"/>
            <w:vAlign w:val="top"/>
          </w:tcPr>
          <w:p>
            <w:r>
              <w:t xml:space="preserve">48</w:t>
            </w:r>
          </w:p>
        </w:tc>
        <w:tc>
          <w:tcPr>
            <w:tcW w:w="4300" w:type="dxa"/>
            <w:vAlign w:val="top"/>
          </w:tcPr>
          <w:p>
            <w:r>
              <w: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toggles now handle permission and PATCH failures, roll back the optimistic state, show retryable feedback, and prevent overlapping toggles.</w:t>
            </w:r>
          </w:p>
        </w:tc>
      </w:tr>
      <w:tr>
        <w:tc>
          <w:tcPr>
            <w:tcW w:w="650" w:type="dxa"/>
            <w:vAlign w:val="top"/>
          </w:tcPr>
          <w:p>
            <w:r>
              <w:t xml:space="preserve">49</w:t>
            </w:r>
          </w:p>
        </w:tc>
        <w:tc>
          <w:tcPr>
            <w:tcW w:w="4300" w:type="dxa"/>
            <w:vAlign w:val="top"/>
          </w:tcPr>
          <w:p>
            <w:r>
              <w: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w:t>
            </w:r>
          </w:p>
        </w:tc>
        <w:tc>
          <w:tcPr>
            <w:tcW w:w="1300" w:type="dxa"/>
            <w:vAlign w:val="top"/>
          </w:tcPr>
          <w:p>
            <w:r>
              <w:t>finished</w:t>
            </w:r>
          </w:p>
        </w:tc>
        <w:tc>
          <w:tcPr>
            <w:tcW w:w="850" w:type="dxa"/>
            <w:vAlign w:val="top"/>
          </w:tcPr>
          <w:p>
            <w:r>
              <w:t xml:space="preserve">3</w:t>
            </w:r>
          </w:p>
        </w:tc>
        <w:tc>
          <w:tcPr>
            <w:tcW w:w="2100" w:type="dxa"/>
            <w:vAlign w:val="top"/>
          </w:tcPr>
          <w:p>
            <w:r>
              <w:t>Finished: personal and household recurring-payment definitions and logs are deleted atomically in transactions.</w:t>
            </w:r>
          </w:p>
        </w:tc>
      </w:tr>
      <w:tr>
        <w:tc>
          <w:tcPr>
            <w:tcW w:w="650" w:type="dxa"/>
            <w:vAlign w:val="top"/>
          </w:tcPr>
          <w:p>
            <w:r>
              <w:t xml:space="preserve">50</w:t>
            </w:r>
          </w:p>
        </w:tc>
        <w:tc>
          <w:tcPr>
            <w:tcW w:w="4300" w:type="dxa"/>
            <w:vAlign w:val="top"/>
          </w:tcPr>
          <w:p>
            <w:r>
              <w: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household deletion and all dependent cleanup in one transaction, use set-based updates where possible, and add failure-injection tests for each write boundary plus a retry/idempotency test.</w:t>
            </w:r>
          </w:p>
        </w:tc>
      </w:tr>
      <w:tr>
        <w:tc>
          <w:tcPr>
            <w:tcW w:w="650" w:type="dxa"/>
            <w:vAlign w:val="top"/>
          </w:tcPr>
          <w:p>
            <w:r>
              <w:t xml:space="preserve">51</w:t>
            </w:r>
          </w:p>
        </w:tc>
        <w:tc>
          <w:tcPr>
            <w:tcW w:w="4300" w:type="dxa"/>
            <w:vAlign w:val="top"/>
          </w:tcPr>
          <w:p>
            <w:r>
              <w: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the leave cleanup one atomic transaction, keep notification/push delivery outside the commit, and add failure-injection tests at each cleanup step plus a retry test.</w:t>
            </w:r>
          </w:p>
        </w:tc>
      </w:tr>
      <w:tr>
        <w:tc>
          <w:tcPr>
            <w:tcW w:w="650" w:type="dxa"/>
            <w:vAlign w:val="top"/>
          </w:tcPr>
          <w:p>
            <w:r>
              <w:t xml:space="preserve">52</w:t>
            </w:r>
          </w:p>
        </w:tc>
        <w:tc>
          <w:tcPr>
            <w:tcW w:w="4300" w:type="dxa"/>
            <w:vAlign w:val="top"/>
          </w:tcPr>
          <w:p>
            <w:r>
              <w: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account-deletion scheduling and all required household state changes one atomic transaction; move best-effort notifications/push delivery after commit, and add failure-injection tests proving no head transfer survives a failed deletion request.</w:t>
            </w:r>
          </w:p>
        </w:tc>
      </w:tr>
      <w:tr>
        <w:tc>
          <w:tcPr>
            <w:tcW w:w="650" w:type="dxa"/>
            <w:vAlign w:val="top"/>
          </w:tcPr>
          <w:p>
            <w:r>
              <w:t xml:space="preserve">53</w:t>
            </w:r>
          </w:p>
        </w:tc>
        <w:tc>
          <w:tcPr>
            <w:tcW w:w="4300" w:type="dxa"/>
            <w:vAlign w:val="top"/>
          </w:tcPr>
          <w:p>
            <w:r>
              <w: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reset-pin now atomically claims the still-valid token, so only one concurrent request can update the PIN.</w:t>
            </w:r>
          </w:p>
        </w:tc>
      </w:tr>
      <w:tr>
        <w:tc>
          <w:tcPr>
            <w:tcW w:w="650" w:type="dxa"/>
            <w:vAlign w:val="top"/>
          </w:tcPr>
          <w:p>
            <w:r>
              <w:t xml:space="preserve">54</w:t>
            </w:r>
          </w:p>
        </w:tc>
        <w:tc>
          <w:tcPr>
            <w:tcW w:w="4300" w:type="dxa"/>
            <w:vAlign w:val="top"/>
          </w:tcPr>
          <w:p>
            <w:r>
              <w: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Apple webhook now requires an Idempotency-Key and atomically deduplicates retries per user.</w:t>
            </w:r>
          </w:p>
        </w:tc>
      </w:tr>
      <w:tr>
        <w:tc>
          <w:tcPr>
            <w:tcW w:w="650" w:type="dxa"/>
            <w:vAlign w:val="top"/>
          </w:tcPr>
          <w:p>
            <w:r>
              <w:t xml:space="preserve">55</w:t>
            </w:r>
          </w:p>
        </w:tc>
        <w:tc>
          <w:tcPr>
            <w:tcW w:w="4300" w:type="dxa"/>
            <w:vAlign w:val="top"/>
          </w:tcPr>
          <w:p>
            <w:r>
              <w: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goal contributions now validate linked transaction ownership or same-household authorization before insertion.</w:t>
            </w:r>
          </w:p>
        </w:tc>
      </w:tr>
      <w:tr>
        <w:tc>
          <w:tcPr>
            <w:tcW w:w="650" w:type="dxa"/>
            <w:vAlign w:val="top"/>
          </w:tcPr>
          <w:p>
            <w:r>
              <w:t xml:space="preserve">56</w:t>
            </w:r>
          </w:p>
        </w:tc>
        <w:tc>
          <w:tcPr>
            <w:tcW w:w="4300" w:type="dxa"/>
            <w:vAlign w:val="top"/>
          </w:tcPr>
          <w:p>
            <w:r>
              <w: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Live Activity registration now uses a unique user/activity key and atomic upsert, preventing duplicate token rows and pushes.</w:t>
            </w:r>
          </w:p>
        </w:tc>
      </w:tr>
      <w:tr>
        <w:tc>
          <w:tcPr>
            <w:tcW w:w="650" w:type="dxa"/>
            <w:vAlign w:val="top"/>
          </w:tcPr>
          <w:p>
            <w:r>
              <w:t xml:space="preserve">57</w:t>
            </w:r>
          </w:p>
        </w:tc>
        <w:tc>
          <w:tcPr>
            <w:tcW w:w="4300" w:type="dxa"/>
            <w:vAlign w:val="top"/>
          </w:tcPr>
          <w:p>
            <w:r>
              <w: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merchant-category rules now require caller-owned categories and only enrich rules with caller-owned category details.</w:t>
            </w:r>
          </w:p>
        </w:tc>
      </w:tr>
      <w:tr>
        <w:tc>
          <w:tcPr>
            <w:tcW w:w="650" w:type="dxa"/>
            <w:vAlign w:val="top"/>
          </w:tcPr>
          <w:p>
            <w:r>
              <w:t xml:space="preserve">58</w:t>
            </w:r>
          </w:p>
        </w:tc>
        <w:tc>
          <w:tcPr>
            <w:tcW w:w="4300" w:type="dxa"/>
            <w:vAlign w:val="top"/>
          </w:tcPr>
          <w:p>
            <w:r>
              <w: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Great Larder fund/spend now write the transaction and ledger entry in one database transaction; category IDs are validated against the caller; spending locks the household row while checking the selected bucket/currency balance, preventing concurrent overdrafts. Added rollback, category-ownership, and concurrent-spend regression tests.</w:t>
            </w:r>
          </w:p>
        </w:tc>
      </w:tr>
      <w:tr>
        <w:tc>
          <w:tcPr>
            <w:tcW w:w="650" w:type="dxa"/>
            <w:vAlign w:val="top"/>
          </w:tcPr>
          <w:p>
            <w:r>
              <w:t xml:space="preserve">59</w:t>
            </w:r>
          </w:p>
        </w:tc>
        <w:tc>
          <w:tcPr>
            <w:tcW w:w="4300" w:type="dxa"/>
            <w:vAlign w:val="top"/>
          </w:tcPr>
          <w:p>
            <w:r>
              <w: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goal offset and Great Larder credit in one transaction with a conditional contribution/balance claim, and add failure-injection and retry/idempotency tests.</w:t>
            </w:r>
          </w:p>
        </w:tc>
      </w:tr>
      <w:tr>
        <w:tc>
          <w:tcPr>
            <w:tcW w:w="650" w:type="dxa"/>
            <w:vAlign w:val="top"/>
          </w:tcPr>
          <w:p>
            <w:r>
              <w:t xml:space="preserve">60</w:t>
            </w:r>
          </w:p>
        </w:tc>
        <w:tc>
          <w:tcPr>
            <w:tcW w:w="4300" w:type="dxa"/>
            <w:vAlign w:val="top"/>
          </w:tcPr>
          <w:p>
            <w:r>
              <w: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Larder dedication now authorizes personal goals by owner and household goals by household membership before any deduction.</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