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spacing w:before="0" w:after="160"/>
      </w:pPr>
      <w:r>
        <w:t xml:space="preserve">Budger Larder: Corrected Production Rollout Plan</w:t>
      </w:r>
    </w:p>
    <w:p>
      <w:pPr>
        <w:pStyle w:val="Subtitle"/>
        <w:spacing w:before="0" w:after="220"/>
      </w:pPr>
      <w:r>
        <w:t xml:space="preserve">Read-only comparison and deployment plan</w:t>
      </w:r>
    </w:p>
    <w:p>
      <w:pPr>
        <w:spacing w:before="0" w:after="60"/>
      </w:pPr>
      <w:r>
        <w:rPr>
          <w:b/>
        </w:rPr>
        <w:t xml:space="preserve">Prepared: </w:t>
      </w:r>
      <w:r>
        <w:t xml:space="preserve">August 7, 2026</w:t>
      </w:r>
    </w:p>
    <w:p>
      <w:pPr>
        <w:spacing w:before="0" w:after="140"/>
      </w:pPr>
      <w:r>
        <w:rPr>
          <w:b/>
        </w:rPr>
        <w:t xml:space="preserve">Scope: </w:t>
      </w:r>
      <w:r>
        <w:t xml:space="preserve">Personal Larder and household Great Larder bucket allocation plus repeatable card flipping through Soft Savings, Hard Savings, and Investments.</w:t>
      </w:r>
    </w:p>
    <w:p>
      <w:pPr>
        <w:spacing w:before="80" w:after="80"/>
      </w:pPr>
      <w:r>
        <w:rPr>
          <w:b/>
          <w:color w:val="B91C1C"/>
          <w:sz w:val="26"/>
          <w:szCs w:val="26"/>
        </w:rPr>
        <w:t xml:space="preserve">NO PRODUCTION ACTION TAKEN</w:t>
      </w:r>
    </w:p>
    <w:p>
      <w:pPr>
        <w:spacing w:before="0" w:after="180"/>
      </w:pPr>
      <w:r>
        <w:rPr>
          <w:i/>
          <w:color w:val="7F1D1D"/>
        </w:rPr>
        <w:t xml:space="preserve">This document is a plan only. No push, pull, commit, database migration, production deployment, or remote repository mutation was performed during this review.</w:t>
      </w:r>
    </w:p>
    <w:p>
      <w:pPr>
        <w:pStyle w:val="Heading1"/>
        <w:spacing w:before="0" w:after="140"/>
        <w:keepNext/>
      </w:pPr>
      <w:r>
        <w:t xml:space="preserve">1. Executive summary</w:t>
      </w:r>
    </w:p>
    <w:p>
      <w:pPr>
        <w:spacing w:before="0" w:after="120"/>
      </w:pPr>
      <w:r>
        <w:t xml:space="preserve">The working Budger application contains the corrected three-bucket savings model and a front-end fix that allows the Larder and Great Larder cards to cycle repeatedly. The production shipping tree is the standalone export/ directory, not the local artifacts/ packages. The export tree is materially behind the working application and cannot receive only the small flip-component change safely. It must first be brought to feature parity across database schema, API routes, generated contracts, and frontend behavior.</w:t>
      </w:r>
    </w:p>
    <w:p>
      <w:pPr>
        <w:spacing w:before="0" w:after="120"/>
      </w:pPr>
      <w:r>
        <w:t xml:space="preserve">The safest release is therefore a coordinated backend-first parity update followed by a frontend update, with a production database backup and migration check before either service is switched over. Existing rows remain valid because the bucket columns are nullable: historical entries will remain in the Unassigned waiting room until explicitly allocated.</w:t>
      </w:r>
    </w:p>
    <w:p>
      <w:pPr>
        <w:pStyle w:val="Heading1"/>
        <w:spacing w:before="0" w:after="140"/>
        <w:keepNext/>
      </w:pPr>
      <w:r>
        <w:t xml:space="preserve">2. Review boundary and repository state</w:t>
      </w:r>
    </w:p>
    <w:tbl>
      <w:tblPr>
        <w:tblStyle w:val="TableGrid"/>
        <w:tblW w:w="0" w:type="auto"/>
        <w:tblLayout w:type="fixed"/>
      </w:tblPr>
      <w:tblGrid>
        <w:gridCol w:w="1700"/>
        <w:gridCol w:w="3300"/>
        <w:gridCol w:w="3100"/>
      </w:tblGrid>
      <w:tr>
        <w:tc>
          <w:tcPr>
            <w:shd w:fill="1F2937"/>
            <w:tcW w:w="2400" w:type="dxa"/>
          </w:tcPr>
          <w:p>
            <w:pPr/>
            <w:r>
              <w:rPr>
                <w:b/>
                <w:sz w:val="19"/>
                <w:szCs w:val="19"/>
              </w:rPr>
              <w:t xml:space="preserve">Item</w:t>
            </w:r>
          </w:p>
        </w:tc>
        <w:tc>
          <w:tcPr>
            <w:shd w:fill="1F2937"/>
            <w:tcW w:w="2400" w:type="dxa"/>
          </w:tcPr>
          <w:p>
            <w:pPr/>
            <w:r>
              <w:rPr>
                <w:b/>
                <w:sz w:val="19"/>
                <w:szCs w:val="19"/>
              </w:rPr>
              <w:t xml:space="preserve">Observed state</w:t>
            </w:r>
          </w:p>
        </w:tc>
        <w:tc>
          <w:tcPr>
            <w:shd w:fill="1F2937"/>
            <w:tcW w:w="2400" w:type="dxa"/>
          </w:tcPr>
          <w:p>
            <w:pPr/>
            <w:r>
              <w:rPr>
                <w:b/>
                <w:sz w:val="19"/>
                <w:szCs w:val="19"/>
              </w:rPr>
              <w:t xml:space="preserve">Release implication</w:t>
            </w:r>
          </w:p>
        </w:tc>
      </w:tr>
      <w:tr>
        <w:tc>
          <w:tcPr>
            <w:tcW w:w="2400" w:type="dxa"/>
          </w:tcPr>
          <w:p>
            <w:pPr/>
            <w:r>
              <w:rPr>
                <w:sz w:val="19"/>
                <w:szCs w:val="19"/>
              </w:rPr>
              <w:t xml:space="preserve">Shipping source</w:t>
            </w:r>
          </w:p>
        </w:tc>
        <w:tc>
          <w:tcPr>
            <w:tcW w:w="2400" w:type="dxa"/>
          </w:tcPr>
          <w:p>
            <w:pPr/>
            <w:r>
              <w:rPr>
                <w:sz w:val="19"/>
                <w:szCs w:val="19"/>
              </w:rPr>
              <w:t xml:space="preserve">export/frontend and export/backend</w:t>
            </w:r>
          </w:p>
        </w:tc>
        <w:tc>
          <w:tcPr>
            <w:tcW w:w="2400" w:type="dxa"/>
          </w:tcPr>
          <w:p>
            <w:pPr/>
            <w:r>
              <w:rPr>
                <w:sz w:val="19"/>
                <w:szCs w:val="19"/>
              </w:rPr>
              <w:t xml:space="preserve">Production must be updated from export/, not directly from artifacts/.</w:t>
            </w:r>
          </w:p>
        </w:tc>
      </w:tr>
      <w:tr>
        <w:tc>
          <w:tcPr>
            <w:tcW w:w="2400" w:type="dxa"/>
          </w:tcPr>
          <w:p>
            <w:pPr/>
            <w:r>
              <w:rPr>
                <w:sz w:val="19"/>
                <w:szCs w:val="19"/>
              </w:rPr>
              <w:t xml:space="preserve">Working monorepo source</w:t>
            </w:r>
          </w:p>
        </w:tc>
        <w:tc>
          <w:tcPr>
            <w:tcW w:w="2400" w:type="dxa"/>
          </w:tcPr>
          <w:p>
            <w:pPr/>
            <w:r>
              <w:rPr>
                <w:sz w:val="19"/>
                <w:szCs w:val="19"/>
              </w:rPr>
              <w:t xml:space="preserve">artifacts/finance-app, artifacts/api-server, lib/db</w:t>
            </w:r>
          </w:p>
        </w:tc>
        <w:tc>
          <w:tcPr>
            <w:tcW w:w="2400" w:type="dxa"/>
          </w:tcPr>
          <w:p>
            <w:pPr/>
            <w:r>
              <w:rPr>
                <w:sz w:val="19"/>
                <w:szCs w:val="19"/>
              </w:rPr>
              <w:t xml:space="preserve">Contains the newer bucket-aware implementation and the repeated-flip correction.</w:t>
            </w:r>
          </w:p>
        </w:tc>
      </w:tr>
      <w:tr>
        <w:tc>
          <w:tcPr>
            <w:tcW w:w="2400" w:type="dxa"/>
          </w:tcPr>
          <w:p>
            <w:pPr/>
            <w:r>
              <w:rPr>
                <w:sz w:val="19"/>
                <w:szCs w:val="19"/>
              </w:rPr>
              <w:t xml:space="preserve">Current local branch</w:t>
            </w:r>
          </w:p>
        </w:tc>
        <w:tc>
          <w:tcPr>
            <w:tcW w:w="2400" w:type="dxa"/>
          </w:tcPr>
          <w:p>
            <w:pPr/>
            <w:r>
              <w:rPr>
                <w:sz w:val="19"/>
                <w:szCs w:val="19"/>
              </w:rPr>
              <w:t xml:space="preserve">main at 1877f0d; working tree has the SavingsBucketStack change</w:t>
            </w:r>
          </w:p>
        </w:tc>
        <w:tc>
          <w:tcPr>
            <w:tcW w:w="2400" w:type="dxa"/>
          </w:tcPr>
          <w:p>
            <w:pPr/>
            <w:r>
              <w:rPr>
                <w:sz w:val="19"/>
                <w:szCs w:val="19"/>
              </w:rPr>
              <w:t xml:space="preserve">The correction is local and must be reconciled into export/ before shipping.</w:t>
            </w:r>
          </w:p>
        </w:tc>
      </w:tr>
      <w:tr>
        <w:tc>
          <w:tcPr>
            <w:tcW w:w="2400" w:type="dxa"/>
          </w:tcPr>
          <w:p>
            <w:pPr/>
            <w:r>
              <w:rPr>
                <w:sz w:val="19"/>
                <w:szCs w:val="19"/>
              </w:rPr>
              <w:t xml:space="preserve">Remote comparison</w:t>
            </w:r>
          </w:p>
        </w:tc>
        <w:tc>
          <w:tcPr>
            <w:tcW w:w="2400" w:type="dxa"/>
          </w:tcPr>
          <w:p>
            <w:pPr/>
            <w:r>
              <w:rPr>
                <w:sz w:val="19"/>
                <w:szCs w:val="19"/>
              </w:rPr>
              <w:t xml:space="preserve">Local main is ahead of the locally known origin/main by 31 commits; origin/main is older</w:t>
            </w:r>
          </w:p>
        </w:tc>
        <w:tc>
          <w:tcPr>
            <w:tcW w:w="2400" w:type="dxa"/>
          </w:tcPr>
          <w:p>
            <w:pPr/>
            <w:r>
              <w:rPr>
                <w:sz w:val="19"/>
                <w:szCs w:val="19"/>
              </w:rPr>
              <w:t xml:space="preserve">Do not push blindly. Reconcile against the actual remote head immediately before any authorized push.</w:t>
            </w:r>
          </w:p>
        </w:tc>
      </w:tr>
      <w:tr>
        <w:tc>
          <w:tcPr>
            <w:tcW w:w="2400" w:type="dxa"/>
          </w:tcPr>
          <w:p>
            <w:pPr/>
            <w:r>
              <w:rPr>
                <w:sz w:val="19"/>
                <w:szCs w:val="19"/>
              </w:rPr>
              <w:t xml:space="preserve">Secrets</w:t>
            </w:r>
          </w:p>
        </w:tc>
        <w:tc>
          <w:tcPr>
            <w:tcW w:w="2400" w:type="dxa"/>
          </w:tcPr>
          <w:p>
            <w:pPr/>
            <w:r>
              <w:rPr>
                <w:sz w:val="19"/>
                <w:szCs w:val="19"/>
              </w:rPr>
              <w:t xml:space="preserve">Secret existence was not required for this source comparison</w:t>
            </w:r>
          </w:p>
        </w:tc>
        <w:tc>
          <w:tcPr>
            <w:tcW w:w="2400" w:type="dxa"/>
          </w:tcPr>
          <w:p>
            <w:pPr/>
            <w:r>
              <w:rPr>
                <w:sz w:val="19"/>
                <w:szCs w:val="19"/>
              </w:rPr>
              <w:t xml:space="preserve">Do not copy or expose secret values. Validate only required variable presence at deployment time.</w:t>
            </w:r>
          </w:p>
        </w:tc>
      </w:tr>
      <w:tr>
        <w:tc>
          <w:tcPr>
            <w:tcW w:w="2400" w:type="dxa"/>
          </w:tcPr>
          <w:p>
            <w:pPr/>
            <w:r>
              <w:rPr>
                <w:sz w:val="19"/>
                <w:szCs w:val="19"/>
              </w:rPr>
              <w:t xml:space="preserve">Actions taken</w:t>
            </w:r>
          </w:p>
        </w:tc>
        <w:tc>
          <w:tcPr>
            <w:tcW w:w="2400" w:type="dxa"/>
          </w:tcPr>
          <w:p>
            <w:pPr/>
            <w:r>
              <w:rPr>
                <w:sz w:val="19"/>
                <w:szCs w:val="19"/>
              </w:rPr>
              <w:t xml:space="preserve">Read-only inspection, local workflow restarts, and document generation only</w:t>
            </w:r>
          </w:p>
        </w:tc>
        <w:tc>
          <w:tcPr>
            <w:tcW w:w="2400" w:type="dxa"/>
          </w:tcPr>
          <w:p>
            <w:pPr/>
            <w:r>
              <w:rPr>
                <w:sz w:val="19"/>
                <w:szCs w:val="19"/>
              </w:rPr>
              <w:t xml:space="preserve">No production state or GitHub remote state was changed.</w:t>
            </w:r>
          </w:p>
        </w:tc>
      </w:tr>
    </w:tbl>
    <w:p>
      <w:pPr>
        <w:pStyle w:val="Heading1"/>
        <w:spacing w:before="0" w:after="140"/>
        <w:keepNext/>
      </w:pPr>
      <w:r>
        <w:t xml:space="preserve">3. Differences found: working app versus shipping export</w:t>
      </w:r>
    </w:p>
    <w:p>
      <w:pPr>
        <w:pStyle w:val="Heading2"/>
        <w:spacing w:before="0" w:after="90"/>
        <w:keepNext/>
      </w:pPr>
      <w:r>
        <w:t xml:space="preserve">3.1 Frontend differences</w:t>
      </w:r>
    </w:p>
    <w:p>
      <w:pPr>
        <w:pStyle w:val="ListBullet"/>
        <w:ilvl w:val="0"/>
        <w:spacing w:after="60"/>
      </w:pPr>
      <w:r>
        <w:t xml:space="preserve">Working app has artifacts/finance-app/src/components/SavingsBucketStack.tsx. The export frontend has no corresponding SavingsBucketStack component.</w:t>
      </w:r>
    </w:p>
    <w:p>
      <w:pPr>
        <w:pStyle w:val="ListBullet"/>
        <w:ilvl w:val="0"/>
        <w:spacing w:after="60"/>
      </w:pPr>
      <w:r>
        <w:t xml:space="preserve">Working LarderTab tracks activeBucket, renders the three-bucket stack, and sends the selected bucket with spend, Great Larder transfer, goal dedication, and assignment requests.</w:t>
      </w:r>
    </w:p>
    <w:p>
      <w:pPr>
        <w:pStyle w:val="ListBullet"/>
        <w:ilvl w:val="0"/>
        <w:spacing w:after="60"/>
      </w:pPr>
      <w:r>
        <w:t xml:space="preserve">Working Household renders the same stack for Great Larder and tracks glActiveBucket, including Investment selection and head-only assignment of waiting-room funds.</w:t>
      </w:r>
    </w:p>
    <w:p>
      <w:pPr>
        <w:pStyle w:val="ListBullet"/>
        <w:ilvl w:val="0"/>
        <w:spacing w:after="60"/>
      </w:pPr>
      <w:r>
        <w:t xml:space="preserve">Export LarderTab and Household still use the older single-total card model. They do not expose Soft Savings, Hard Savings, Investments, Unassigned funds, or bucket-specific actions.</w:t>
      </w:r>
    </w:p>
    <w:p>
      <w:pPr>
        <w:pStyle w:val="ListBullet"/>
        <w:ilvl w:val="0"/>
        <w:spacing w:after="60"/>
      </w:pPr>
      <w:r>
        <w:t xml:space="preserve">The corrected working flip state uses an explicit current-bucket ref. Each completed flip advances from the actual current bucket and wraps Investments back to Soft Savings. This state machine must be copied into the export frontend, not reimplemented as a one-way toggle.</w:t>
      </w:r>
    </w:p>
    <w:p>
      <w:pPr>
        <w:pStyle w:val="ListBullet"/>
        <w:ilvl w:val="0"/>
        <w:spacing w:after="60"/>
      </w:pPr>
      <w:r>
        <w:t xml:space="preserve">The export frontend must receive the corresponding shared type, translations, styling, and any generated client types needed by the bucket-aware API response.</w:t>
      </w:r>
    </w:p>
    <w:p>
      <w:pPr>
        <w:pStyle w:val="Heading2"/>
        <w:spacing w:before="0" w:after="90"/>
        <w:keepNext/>
      </w:pPr>
      <w:r>
        <w:t xml:space="preserve">3.2 Backend and database differences</w:t>
      </w:r>
    </w:p>
    <w:p>
      <w:pPr>
        <w:pStyle w:val="ListBullet"/>
        <w:ilvl w:val="0"/>
        <w:spacing w:after="60"/>
      </w:pPr>
      <w:r>
        <w:t xml:space="preserve">Working lib/db schema adds nullable bucket text columns to larder_entries and great_larder_entries. Export schemas do not contain these columns.</w:t>
      </w:r>
    </w:p>
    <w:p>
      <w:pPr>
        <w:pStyle w:val="ListBullet"/>
        <w:ilvl w:val="0"/>
        <w:spacing w:after="60"/>
      </w:pPr>
      <w:r>
        <w:t xml:space="preserve">Working migration 0009_freezing_smiling_tiger.sql adds both bucket columns. Export has no equivalent migration in its shipping source.</w:t>
      </w:r>
    </w:p>
    <w:p>
      <w:pPr>
        <w:pStyle w:val="ListBullet"/>
        <w:ilvl w:val="0"/>
        <w:spacing w:after="60"/>
      </w:pPr>
      <w:r>
        <w:t xml:space="preserve">Working GET /larder returns buckets and unassigned balances. Export GET /larder returns only the grand total and currency breakdown.</w:t>
      </w:r>
    </w:p>
    <w:p>
      <w:pPr>
        <w:pStyle w:val="ListBullet"/>
        <w:ilvl w:val="0"/>
        <w:spacing w:after="60"/>
      </w:pPr>
      <w:r>
        <w:t xml:space="preserve">Working GET /great-larder returns buckets and unassigned balances. Export GET /great-larder returns only the grand total, pending count, and currency breakdown.</w:t>
      </w:r>
    </w:p>
    <w:p>
      <w:pPr>
        <w:pStyle w:val="ListBullet"/>
        <w:ilvl w:val="0"/>
        <w:spacing w:after="60"/>
      </w:pPr>
      <w:r>
        <w:t xml:space="preserve">Working backend adds POST /larder/assign and POST /great-larder/assign. Both create balancing debit and bucket-credit ledger rows atomically. Export does not have either endpoint.</w:t>
      </w:r>
    </w:p>
    <w:p>
      <w:pPr>
        <w:pStyle w:val="ListBullet"/>
        <w:ilvl w:val="0"/>
        <w:spacing w:after="60"/>
      </w:pPr>
      <w:r>
        <w:t xml:space="preserve">Working larder spend, dedication, and personal-to-Great-Larder transfer routes accept and enforce a bucket. Export still aggregates across the entire Larder or Great Larder.</w:t>
      </w:r>
    </w:p>
    <w:p>
      <w:pPr>
        <w:pStyle w:val="ListBullet"/>
        <w:ilvl w:val="0"/>
        <w:spacing w:after="60"/>
      </w:pPr>
      <w:r>
        <w:t xml:space="preserve">Working Great Larder approval and spending paths preserve the bucket field. Export paths do not carry bucket allocation through the ledger.</w:t>
      </w:r>
    </w:p>
    <w:p>
      <w:pPr>
        <w:pStyle w:val="ListBullet"/>
        <w:ilvl w:val="0"/>
        <w:spacing w:after="60"/>
      </w:pPr>
      <w:r>
        <w:t xml:space="preserve">The working model treats null bucket as an Unassigned waiting room. New deposits and transfers are not silently categorized; a user or Great Larder head explicitly assigns them.</w:t>
      </w:r>
    </w:p>
    <w:p>
      <w:pPr>
        <w:pStyle w:val="Heading2"/>
        <w:spacing w:before="0" w:after="90"/>
        <w:keepNext/>
      </w:pPr>
      <w:r>
        <w:t xml:space="preserve">3.3 Contract and generated-code differences</w:t>
      </w:r>
    </w:p>
    <w:p>
      <w:pPr>
        <w:pStyle w:val="ListBullet"/>
        <w:ilvl w:val="0"/>
        <w:spacing w:after="60"/>
      </w:pPr>
      <w:r>
        <w:t xml:space="preserve">The working OpenAPI contract includes the bucket enum: soft_savings, hard_savings, investments, plus nullable bucket values in response schemas.</w:t>
      </w:r>
    </w:p>
    <w:p>
      <w:pPr>
        <w:pStyle w:val="ListBullet"/>
        <w:ilvl w:val="0"/>
        <w:spacing w:after="60"/>
      </w:pPr>
      <w:r>
        <w:t xml:space="preserve">Before updating export, the production API contract and standalone generated client/Zod types must be regenerated or synchronized so the frontend and backend agree on the response shape and request fields.</w:t>
      </w:r>
    </w:p>
    <w:p>
      <w:pPr>
        <w:pStyle w:val="ListBullet"/>
        <w:ilvl w:val="0"/>
        <w:spacing w:after="60"/>
      </w:pPr>
      <w:r>
        <w:t xml:space="preserve">The export package is independent of the monorepo, so workspace aliases and generated artifacts cannot be assumed to update automatically. The parity copy must be explicit and then typechecked inside export/frontend and export/backend.</w:t>
      </w:r>
    </w:p>
    <w:p>
      <w:pPr>
        <w:pStyle w:val="Heading1"/>
        <w:spacing w:before="0" w:after="140"/>
        <w:keepNext/>
      </w:pPr>
      <w:r>
        <w:t xml:space="preserve">4. Target corrected behavior</w:t>
      </w:r>
    </w:p>
    <w:tbl>
      <w:tblPr>
        <w:tblStyle w:val="TableGrid"/>
        <w:tblW w:w="0" w:type="auto"/>
        <w:tblLayout w:type="fixed"/>
      </w:tblPr>
      <w:tblGrid>
        <w:gridCol w:w="1700"/>
        <w:gridCol w:w="3500"/>
        <w:gridCol w:w="2900"/>
      </w:tblGrid>
      <w:tr>
        <w:tc>
          <w:tcPr>
            <w:shd w:fill="1F2937"/>
            <w:tcW w:w="2400" w:type="dxa"/>
          </w:tcPr>
          <w:p>
            <w:pPr/>
            <w:r>
              <w:rPr>
                <w:b/>
                <w:sz w:val="19"/>
                <w:szCs w:val="19"/>
              </w:rPr>
              <w:t xml:space="preserve">Scenario</w:t>
            </w:r>
          </w:p>
        </w:tc>
        <w:tc>
          <w:tcPr>
            <w:shd w:fill="1F2937"/>
            <w:tcW w:w="2400" w:type="dxa"/>
          </w:tcPr>
          <w:p>
            <w:pPr/>
            <w:r>
              <w:rPr>
                <w:b/>
                <w:sz w:val="19"/>
                <w:szCs w:val="19"/>
              </w:rPr>
              <w:t xml:space="preserve">Expected behavior</w:t>
            </w:r>
          </w:p>
        </w:tc>
        <w:tc>
          <w:tcPr>
            <w:shd w:fill="1F2937"/>
            <w:tcW w:w="2400" w:type="dxa"/>
          </w:tcPr>
          <w:p>
            <w:pPr/>
            <w:r>
              <w:rPr>
                <w:b/>
                <w:sz w:val="19"/>
                <w:szCs w:val="19"/>
              </w:rPr>
              <w:t xml:space="preserve">Data rule</w:t>
            </w:r>
          </w:p>
        </w:tc>
      </w:tr>
      <w:tr>
        <w:tc>
          <w:tcPr>
            <w:tcW w:w="2400" w:type="dxa"/>
          </w:tcPr>
          <w:p>
            <w:pPr/>
            <w:r>
              <w:rPr>
                <w:sz w:val="19"/>
                <w:szCs w:val="19"/>
              </w:rPr>
              <w:t xml:space="preserve">Personal card flip</w:t>
            </w:r>
          </w:p>
        </w:tc>
        <w:tc>
          <w:tcPr>
            <w:tcW w:w="2400" w:type="dxa"/>
          </w:tcPr>
          <w:p>
            <w:pPr/>
            <w:r>
              <w:rPr>
                <w:sz w:val="19"/>
                <w:szCs w:val="19"/>
              </w:rPr>
              <w:t xml:space="preserve">Soft Savings → Hard Savings → Investments → Soft Savings, indefinitely.</w:t>
            </w:r>
          </w:p>
        </w:tc>
        <w:tc>
          <w:tcPr>
            <w:tcW w:w="2400" w:type="dxa"/>
          </w:tcPr>
          <w:p>
            <w:pPr/>
            <w:r>
              <w:rPr>
                <w:sz w:val="19"/>
                <w:szCs w:val="19"/>
              </w:rPr>
              <w:t xml:space="preserve">Flip changes selection only; it does not move money.</w:t>
            </w:r>
          </w:p>
        </w:tc>
      </w:tr>
      <w:tr>
        <w:tc>
          <w:tcPr>
            <w:tcW w:w="2400" w:type="dxa"/>
          </w:tcPr>
          <w:p>
            <w:pPr/>
            <w:r>
              <w:rPr>
                <w:sz w:val="19"/>
                <w:szCs w:val="19"/>
              </w:rPr>
              <w:t xml:space="preserve">Great Larder card flip</w:t>
            </w:r>
          </w:p>
        </w:tc>
        <w:tc>
          <w:tcPr>
            <w:tcW w:w="2400" w:type="dxa"/>
          </w:tcPr>
          <w:p>
            <w:pPr/>
            <w:r>
              <w:rPr>
                <w:sz w:val="19"/>
                <w:szCs w:val="19"/>
              </w:rPr>
              <w:t xml:space="preserve">Same three-step cycle, independently maintained from the personal card.</w:t>
            </w:r>
          </w:p>
        </w:tc>
        <w:tc>
          <w:tcPr>
            <w:tcW w:w="2400" w:type="dxa"/>
          </w:tcPr>
          <w:p>
            <w:pPr/>
            <w:r>
              <w:rPr>
                <w:sz w:val="19"/>
                <w:szCs w:val="19"/>
              </w:rPr>
              <w:t xml:space="preserve">Great Larder selection controls only Great Larder actions.</w:t>
            </w:r>
          </w:p>
        </w:tc>
      </w:tr>
      <w:tr>
        <w:tc>
          <w:tcPr>
            <w:tcW w:w="2400" w:type="dxa"/>
          </w:tcPr>
          <w:p>
            <w:pPr/>
            <w:r>
              <w:rPr>
                <w:sz w:val="19"/>
                <w:szCs w:val="19"/>
              </w:rPr>
              <w:t xml:space="preserve">New Larder deposit</w:t>
            </w:r>
          </w:p>
        </w:tc>
        <w:tc>
          <w:tcPr>
            <w:tcW w:w="2400" w:type="dxa"/>
          </w:tcPr>
          <w:p>
            <w:pPr/>
            <w:r>
              <w:rPr>
                <w:sz w:val="19"/>
                <w:szCs w:val="19"/>
              </w:rPr>
              <w:t xml:space="preserve">Appears in Unassigned.</w:t>
            </w:r>
          </w:p>
        </w:tc>
        <w:tc>
          <w:tcPr>
            <w:tcW w:w="2400" w:type="dxa"/>
          </w:tcPr>
          <w:p>
            <w:pPr/>
            <w:r>
              <w:rPr>
                <w:sz w:val="19"/>
                <w:szCs w:val="19"/>
              </w:rPr>
              <w:t xml:space="preserve">bucket remains null until explicit assignment.</w:t>
            </w:r>
          </w:p>
        </w:tc>
      </w:tr>
      <w:tr>
        <w:tc>
          <w:tcPr>
            <w:tcW w:w="2400" w:type="dxa"/>
          </w:tcPr>
          <w:p>
            <w:pPr/>
            <w:r>
              <w:rPr>
                <w:sz w:val="19"/>
                <w:szCs w:val="19"/>
              </w:rPr>
              <w:t xml:space="preserve">New Great Larder contribution</w:t>
            </w:r>
          </w:p>
        </w:tc>
        <w:tc>
          <w:tcPr>
            <w:tcW w:w="2400" w:type="dxa"/>
          </w:tcPr>
          <w:p>
            <w:pPr/>
            <w:r>
              <w:rPr>
                <w:sz w:val="19"/>
                <w:szCs w:val="19"/>
              </w:rPr>
              <w:t xml:space="preserve">Appears in Unassigned after approval/transfer.</w:t>
            </w:r>
          </w:p>
        </w:tc>
        <w:tc>
          <w:tcPr>
            <w:tcW w:w="2400" w:type="dxa"/>
          </w:tcPr>
          <w:p>
            <w:pPr/>
            <w:r>
              <w:rPr>
                <w:sz w:val="19"/>
                <w:szCs w:val="19"/>
              </w:rPr>
              <w:t xml:space="preserve">bucket remains null until the head assigns it.</w:t>
            </w:r>
          </w:p>
        </w:tc>
      </w:tr>
      <w:tr>
        <w:tc>
          <w:tcPr>
            <w:tcW w:w="2400" w:type="dxa"/>
          </w:tcPr>
          <w:p>
            <w:pPr/>
            <w:r>
              <w:rPr>
                <w:sz w:val="19"/>
                <w:szCs w:val="19"/>
              </w:rPr>
              <w:t xml:space="preserve">Assign funds</w:t>
            </w:r>
          </w:p>
        </w:tc>
        <w:tc>
          <w:tcPr>
            <w:tcW w:w="2400" w:type="dxa"/>
          </w:tcPr>
          <w:p>
            <w:pPr/>
            <w:r>
              <w:rPr>
                <w:sz w:val="19"/>
                <w:szCs w:val="19"/>
              </w:rPr>
              <w:t xml:space="preserve">Creates one balancing debit and one bucket credit in one database transaction.</w:t>
            </w:r>
          </w:p>
        </w:tc>
        <w:tc>
          <w:tcPr>
            <w:tcW w:w="2400" w:type="dxa"/>
          </w:tcPr>
          <w:p>
            <w:pPr/>
            <w:r>
              <w:rPr>
                <w:sz w:val="19"/>
                <w:szCs w:val="19"/>
              </w:rPr>
              <w:t xml:space="preserve">Native currency amount must be sufficient in the selected waiting room.</w:t>
            </w:r>
          </w:p>
        </w:tc>
      </w:tr>
      <w:tr>
        <w:tc>
          <w:tcPr>
            <w:tcW w:w="2400" w:type="dxa"/>
          </w:tcPr>
          <w:p>
            <w:pPr/>
            <w:r>
              <w:rPr>
                <w:sz w:val="19"/>
                <w:szCs w:val="19"/>
              </w:rPr>
              <w:t xml:space="preserve">Spend/transfer/dedicate</w:t>
            </w:r>
          </w:p>
        </w:tc>
        <w:tc>
          <w:tcPr>
            <w:tcW w:w="2400" w:type="dxa"/>
          </w:tcPr>
          <w:p>
            <w:pPr/>
            <w:r>
              <w:rPr>
                <w:sz w:val="19"/>
                <w:szCs w:val="19"/>
              </w:rPr>
              <w:t xml:space="preserve">Uses the currently selected bucket and selected currency asset.</w:t>
            </w:r>
          </w:p>
        </w:tc>
        <w:tc>
          <w:tcPr>
            <w:tcW w:w="2400" w:type="dxa"/>
          </w:tcPr>
          <w:p>
            <w:pPr/>
            <w:r>
              <w:rPr>
                <w:sz w:val="19"/>
                <w:szCs w:val="19"/>
              </w:rPr>
              <w:t xml:space="preserve">Server rechecks ownership, bucket, currency, and sufficient balance.</w:t>
            </w:r>
          </w:p>
        </w:tc>
      </w:tr>
      <w:tr>
        <w:tc>
          <w:tcPr>
            <w:tcW w:w="2400" w:type="dxa"/>
          </w:tcPr>
          <w:p>
            <w:pPr/>
            <w:r>
              <w:rPr>
                <w:sz w:val="19"/>
                <w:szCs w:val="19"/>
              </w:rPr>
              <w:t xml:space="preserve">Historical data</w:t>
            </w:r>
          </w:p>
        </w:tc>
        <w:tc>
          <w:tcPr>
            <w:tcW w:w="2400" w:type="dxa"/>
          </w:tcPr>
          <w:p>
            <w:pPr/>
            <w:r>
              <w:rPr>
                <w:sz w:val="19"/>
                <w:szCs w:val="19"/>
              </w:rPr>
              <w:t xml:space="preserve">Remains visible and counted without destructive conversion.</w:t>
            </w:r>
          </w:p>
        </w:tc>
        <w:tc>
          <w:tcPr>
            <w:tcW w:w="2400" w:type="dxa"/>
          </w:tcPr>
          <w:p>
            <w:pPr/>
            <w:r>
              <w:rPr>
                <w:sz w:val="19"/>
                <w:szCs w:val="19"/>
              </w:rPr>
              <w:t xml:space="preserve">Existing null bucket values are intentionally Unassigned.</w:t>
            </w:r>
          </w:p>
        </w:tc>
      </w:tr>
    </w:tbl>
    <w:p>
      <w:r>
        <w:br w:type="page"/>
      </w:r>
    </w:p>
    <w:p>
      <w:pPr>
        <w:pStyle w:val="Heading1"/>
        <w:spacing w:before="0" w:after="140"/>
        <w:keepNext/>
      </w:pPr>
      <w:r>
        <w:t xml:space="preserve">5. Detailed corrected production plan</w:t>
      </w:r>
    </w:p>
    <w:p>
      <w:pPr>
        <w:pStyle w:val="Heading2"/>
        <w:spacing w:before="0" w:after="90"/>
        <w:keepNext/>
      </w:pPr>
      <w:r>
        <w:t xml:space="preserve">Phase 0 — Approval and release freeze</w:t>
      </w:r>
    </w:p>
    <w:p>
      <w:pPr>
        <w:pStyle w:val="ListNumber"/>
        <w:ilvl w:val="0"/>
        <w:spacing w:after="60"/>
      </w:pPr>
      <w:r>
        <w:t xml:space="preserve">Obtain explicit permission to prepare and push the production release. This document does not grant that permission.</w:t>
      </w:r>
    </w:p>
    <w:p>
      <w:pPr>
        <w:pStyle w:val="ListNumber"/>
        <w:ilvl w:val="0"/>
        <w:spacing w:after="60"/>
      </w:pPr>
      <w:r>
        <w:t xml:space="preserve">Freeze unrelated changes to export/frontend and export/backend while the parity work is prepared.</w:t>
      </w:r>
    </w:p>
    <w:p>
      <w:pPr>
        <w:pStyle w:val="ListNumber"/>
        <w:ilvl w:val="0"/>
        <w:spacing w:after="60"/>
      </w:pPr>
      <w:r>
        <w:t xml:space="preserve">Create a release branch or equivalent isolated checkpoint from the current production baseline after confirming the latest remote main.</w:t>
      </w:r>
    </w:p>
    <w:p>
      <w:pPr>
        <w:pStyle w:val="ListNumber"/>
        <w:ilvl w:val="0"/>
        <w:spacing w:after="60"/>
      </w:pPr>
      <w:r>
        <w:t xml:space="preserve">Record the exact production frontend URL, backend URL, database target, and deployment provider without placing credentials in source control.</w:t>
      </w:r>
    </w:p>
    <w:p>
      <w:pPr>
        <w:pStyle w:val="Heading2"/>
        <w:spacing w:before="0" w:after="90"/>
        <w:keepNext/>
      </w:pPr>
      <w:r>
        <w:t xml:space="preserve">Phase 1 — Reconcile sources without deploying</w:t>
      </w:r>
    </w:p>
    <w:p>
      <w:pPr>
        <w:pStyle w:val="ListNumber"/>
        <w:ilvl w:val="0"/>
        <w:spacing w:after="60"/>
      </w:pPr>
      <w:r>
        <w:t xml:space="preserve">Fetch remote metadata read-only and compare the actual origin/main head with the local branch. Do not overwrite local work or force-push.</w:t>
      </w:r>
    </w:p>
    <w:p>
      <w:pPr>
        <w:pStyle w:val="ListNumber"/>
        <w:ilvl w:val="0"/>
        <w:spacing w:after="60"/>
      </w:pPr>
      <w:r>
        <w:t xml:space="preserve">Identify whether the current working flip fix and the bucket feature commits already exist in the remote history.</w:t>
      </w:r>
    </w:p>
    <w:p>
      <w:pPr>
        <w:pStyle w:val="ListNumber"/>
        <w:ilvl w:val="0"/>
        <w:spacing w:after="60"/>
      </w:pPr>
      <w:r>
        <w:t xml:space="preserve">Build a parity patch from the working monorepo into export/ using the export architecture and relative imports, rather than copying workspace aliases blindly.</w:t>
      </w:r>
    </w:p>
    <w:p>
      <w:pPr>
        <w:pStyle w:val="ListNumber"/>
        <w:ilvl w:val="0"/>
        <w:spacing w:after="60"/>
      </w:pPr>
      <w:r>
        <w:t xml:space="preserve">Keep the export deployment boundary intact: frontend remains a root-served Vite app and backend remains a standalone Express/Postgres service.</w:t>
      </w:r>
    </w:p>
    <w:p>
      <w:pPr>
        <w:pStyle w:val="Heading2"/>
        <w:spacing w:before="0" w:after="90"/>
        <w:keepNext/>
      </w:pPr>
      <w:r>
        <w:t xml:space="preserve">Phase 2 — Database and migration preparation</w:t>
      </w:r>
    </w:p>
    <w:p>
      <w:pPr>
        <w:pStyle w:val="ListNumber"/>
        <w:ilvl w:val="0"/>
        <w:spacing w:after="60"/>
      </w:pPr>
      <w:r>
        <w:t xml:space="preserve">Back up the production Neon database and record the backup timestamp before schema work.</w:t>
      </w:r>
    </w:p>
    <w:p>
      <w:pPr>
        <w:pStyle w:val="ListNumber"/>
        <w:ilvl w:val="0"/>
        <w:spacing w:after="60"/>
      </w:pPr>
      <w:r>
        <w:t xml:space="preserve">Add nullable text bucket columns to both larder_entries and great_larder_entries.</w:t>
      </w:r>
    </w:p>
    <w:p>
      <w:pPr>
        <w:pStyle w:val="ListNumber"/>
        <w:ilvl w:val="0"/>
        <w:spacing w:after="60"/>
      </w:pPr>
      <w:r>
        <w:t xml:space="preserve">Add the production migration to the standalone backend migration directory and update migration metadata consistently.</w:t>
      </w:r>
    </w:p>
    <w:p>
      <w:pPr>
        <w:pStyle w:val="ListNumber"/>
        <w:ilvl w:val="0"/>
        <w:spacing w:after="60"/>
      </w:pPr>
      <w:r>
        <w:t xml:space="preserve">Run a read-only preflight query to count existing Larder and Great Larder entries and confirm no existing bucket column data will be overwritten.</w:t>
      </w:r>
    </w:p>
    <w:p>
      <w:pPr>
        <w:pStyle w:val="ListNumber"/>
        <w:ilvl w:val="0"/>
        <w:spacing w:after="60"/>
      </w:pPr>
      <w:r>
        <w:t xml:space="preserve">After migration, verify row counts, indexes, nullability, and that existing totals are unchanged. Do not backfill historical entries into a savings bucket automatically.</w:t>
      </w:r>
    </w:p>
    <w:p>
      <w:pPr>
        <w:pStyle w:val="Heading2"/>
        <w:spacing w:before="0" w:after="90"/>
        <w:keepNext/>
      </w:pPr>
      <w:r>
        <w:t xml:space="preserve">Phase 3 — Backend parity implementation</w:t>
      </w:r>
    </w:p>
    <w:p>
      <w:pPr>
        <w:pStyle w:val="ListNumber"/>
        <w:ilvl w:val="0"/>
        <w:spacing w:after="60"/>
      </w:pPr>
      <w:r>
        <w:t xml:space="preserve">Update both export schema files and database exports so TypeScript knows about bucket.</w:t>
      </w:r>
    </w:p>
    <w:p>
      <w:pPr>
        <w:pStyle w:val="ListNumber"/>
        <w:ilvl w:val="0"/>
        <w:spacing w:after="60"/>
      </w:pPr>
      <w:r>
        <w:t xml:space="preserve">Port the shared bucket constants and validation: soft_savings, hard_savings, investments. Reject unknown values server-side.</w:t>
      </w:r>
    </w:p>
    <w:p>
      <w:pPr>
        <w:pStyle w:val="ListNumber"/>
        <w:ilvl w:val="0"/>
        <w:spacing w:after="60"/>
      </w:pPr>
      <w:r>
        <w:t xml:space="preserve">Update GET /larder and GET /great-larder to return per-bucket totals, per-currency breakdowns, and Unassigned totals.</w:t>
      </w:r>
    </w:p>
    <w:p>
      <w:pPr>
        <w:pStyle w:val="ListNumber"/>
        <w:ilvl w:val="0"/>
        <w:spacing w:after="60"/>
      </w:pPr>
      <w:r>
        <w:t xml:space="preserve">Add POST /larder/assign and POST /great-larder/assign. Validate role, ownership, selected currency, positive rounded amount, and waiting-room balance.</w:t>
      </w:r>
    </w:p>
    <w:p>
      <w:pPr>
        <w:pStyle w:val="ListNumber"/>
        <w:ilvl w:val="0"/>
        <w:spacing w:after="60"/>
      </w:pPr>
      <w:r>
        <w:t xml:space="preserve">Use a single database transaction for each assignment: insert the waiting-room debit and bucket credit together.</w:t>
      </w:r>
    </w:p>
    <w:p>
      <w:pPr>
        <w:pStyle w:val="ListNumber"/>
        <w:ilvl w:val="0"/>
        <w:spacing w:after="60"/>
      </w:pPr>
      <w:r>
        <w:t xml:space="preserve">Update personal spend, Great Larder send, goal dedication, fund, approval, and save-from-goal paths to preserve or require the selected bucket as appropriate.</w:t>
      </w:r>
    </w:p>
    <w:p>
      <w:pPr>
        <w:pStyle w:val="ListNumber"/>
        <w:ilvl w:val="0"/>
        <w:spacing w:after="60"/>
      </w:pPr>
      <w:r>
        <w:t xml:space="preserve">Ensure standing-rule and recurring-payment flows preserve the intended Unassigned behavior and do not accidentally mark a contribution as a spend-from-Larder transaction.</w:t>
      </w:r>
    </w:p>
    <w:p>
      <w:pPr>
        <w:pStyle w:val="ListNumber"/>
        <w:ilvl w:val="0"/>
        <w:spacing w:after="60"/>
      </w:pPr>
      <w:r>
        <w:t xml:space="preserve">Regenerate or synchronize standalone API Zod/client types after contract changes, then typecheck the backend.</w:t>
      </w:r>
    </w:p>
    <w:p>
      <w:pPr>
        <w:pStyle w:val="Heading2"/>
        <w:spacing w:before="0" w:after="90"/>
        <w:keepNext/>
      </w:pPr>
      <w:r>
        <w:t xml:space="preserve">Phase 4 — Frontend parity implementation</w:t>
      </w:r>
    </w:p>
    <w:p>
      <w:pPr>
        <w:pStyle w:val="ListNumber"/>
        <w:ilvl w:val="0"/>
        <w:spacing w:after="60"/>
      </w:pPr>
      <w:r>
        <w:t xml:space="preserve">Add the bucket stack component to export/frontend with the corrected repeatable state machine.</w:t>
      </w:r>
    </w:p>
    <w:p>
      <w:pPr>
        <w:pStyle w:val="ListNumber"/>
        <w:ilvl w:val="0"/>
        <w:spacing w:after="60"/>
      </w:pPr>
      <w:r>
        <w:t xml:space="preserve">Update export LarderTab with personal bucket selection, per-bucket balances, Unassigned assignment UI, and bucket-aware action payloads.</w:t>
      </w:r>
    </w:p>
    <w:p>
      <w:pPr>
        <w:pStyle w:val="ListNumber"/>
        <w:ilvl w:val="0"/>
        <w:spacing w:after="60"/>
      </w:pPr>
      <w:r>
        <w:t xml:space="preserve">Update export Household with Great Larder bucket selection, Unassigned assignment UI for the head, and bucket-aware Great Larder actions.</w:t>
      </w:r>
    </w:p>
    <w:p>
      <w:pPr>
        <w:pStyle w:val="ListNumber"/>
        <w:ilvl w:val="0"/>
        <w:spacing w:after="60"/>
      </w:pPr>
      <w:r>
        <w:t xml:space="preserve">Port the bucket enum/type, labels, translations, accessible button labels, and indicator dots.</w:t>
      </w:r>
    </w:p>
    <w:p>
      <w:pPr>
        <w:pStyle w:val="ListNumber"/>
        <w:ilvl w:val="0"/>
        <w:spacing w:after="60"/>
      </w:pPr>
      <w:r>
        <w:t xml:space="preserve">Invalidate/refetch Larder and Great Larder queries after assignment, spend, transfer, goal dedication, approval, and rejection so the selected bucket and totals update after mutation and reload.</w:t>
      </w:r>
    </w:p>
    <w:p>
      <w:pPr>
        <w:pStyle w:val="ListNumber"/>
        <w:ilvl w:val="0"/>
        <w:spacing w:after="60"/>
      </w:pPr>
      <w:r>
        <w:t xml:space="preserve">Keep card flipping purely presentational: it must not create ledger rows, mutate balances, or require a backend request.</w:t>
      </w:r>
    </w:p>
    <w:p>
      <w:pPr>
        <w:pStyle w:val="ListNumber"/>
        <w:ilvl w:val="0"/>
        <w:spacing w:after="60"/>
      </w:pPr>
      <w:r>
        <w:t xml:space="preserve">Verify that the selected bucket remains correct when the user flips through all three cards, opens an action sheet, submits an action, closes/reopens the sheet, reloads, or changes currency.</w:t>
      </w:r>
    </w:p>
    <w:p>
      <w:pPr>
        <w:pStyle w:val="Heading2"/>
        <w:spacing w:before="0" w:after="90"/>
        <w:keepNext/>
      </w:pPr>
      <w:r>
        <w:t xml:space="preserve">Phase 5 — Verification gates</w:t>
      </w:r>
    </w:p>
    <w:tbl>
      <w:tblPr>
        <w:tblStyle w:val="TableGrid"/>
        <w:tblW w:w="0" w:type="auto"/>
        <w:tblLayout w:type="fixed"/>
      </w:tblPr>
      <w:tblGrid>
        <w:gridCol w:w="1400"/>
        <w:gridCol w:w="3900"/>
        <w:gridCol w:w="2800"/>
      </w:tblGrid>
      <w:tr>
        <w:tc>
          <w:tcPr>
            <w:shd w:fill="1F2937"/>
            <w:tcW w:w="2400" w:type="dxa"/>
          </w:tcPr>
          <w:p>
            <w:pPr/>
            <w:r>
              <w:rPr>
                <w:b/>
                <w:sz w:val="19"/>
                <w:szCs w:val="19"/>
              </w:rPr>
              <w:t xml:space="preserve">Gate</w:t>
            </w:r>
          </w:p>
        </w:tc>
        <w:tc>
          <w:tcPr>
            <w:shd w:fill="1F2937"/>
            <w:tcW w:w="2400" w:type="dxa"/>
          </w:tcPr>
          <w:p>
            <w:pPr/>
            <w:r>
              <w:rPr>
                <w:b/>
                <w:sz w:val="19"/>
                <w:szCs w:val="19"/>
              </w:rPr>
              <w:t xml:space="preserve">Required check</w:t>
            </w:r>
          </w:p>
        </w:tc>
        <w:tc>
          <w:tcPr>
            <w:shd w:fill="1F2937"/>
            <w:tcW w:w="2400" w:type="dxa"/>
          </w:tcPr>
          <w:p>
            <w:pPr/>
            <w:r>
              <w:rPr>
                <w:b/>
                <w:sz w:val="19"/>
                <w:szCs w:val="19"/>
              </w:rPr>
              <w:t xml:space="preserve">Pass condition</w:t>
            </w:r>
          </w:p>
        </w:tc>
      </w:tr>
      <w:tr>
        <w:tc>
          <w:tcPr>
            <w:tcW w:w="2400" w:type="dxa"/>
          </w:tcPr>
          <w:p>
            <w:pPr/>
            <w:r>
              <w:rPr>
                <w:sz w:val="19"/>
                <w:szCs w:val="19"/>
              </w:rPr>
              <w:t xml:space="preserve">Static</w:t>
            </w:r>
          </w:p>
        </w:tc>
        <w:tc>
          <w:tcPr>
            <w:tcW w:w="2400" w:type="dxa"/>
          </w:tcPr>
          <w:p>
            <w:pPr/>
            <w:r>
              <w:rPr>
                <w:sz w:val="19"/>
                <w:szCs w:val="19"/>
              </w:rPr>
              <w:t xml:space="preserve">Typecheck export/backend and export/frontend</w:t>
            </w:r>
          </w:p>
        </w:tc>
        <w:tc>
          <w:tcPr>
            <w:tcW w:w="2400" w:type="dxa"/>
          </w:tcPr>
          <w:p>
            <w:pPr/>
            <w:r>
              <w:rPr>
                <w:sz w:val="19"/>
                <w:szCs w:val="19"/>
              </w:rPr>
              <w:t xml:space="preserve">No new TypeScript errors; generated types match route payloads.</w:t>
            </w:r>
          </w:p>
        </w:tc>
      </w:tr>
      <w:tr>
        <w:tc>
          <w:tcPr>
            <w:tcW w:w="2400" w:type="dxa"/>
          </w:tcPr>
          <w:p>
            <w:pPr/>
            <w:r>
              <w:rPr>
                <w:sz w:val="19"/>
                <w:szCs w:val="19"/>
              </w:rPr>
              <w:t xml:space="preserve">Build</w:t>
            </w:r>
          </w:p>
        </w:tc>
        <w:tc>
          <w:tcPr>
            <w:tcW w:w="2400" w:type="dxa"/>
          </w:tcPr>
          <w:p>
            <w:pPr/>
            <w:r>
              <w:rPr>
                <w:sz w:val="19"/>
                <w:szCs w:val="19"/>
              </w:rPr>
              <w:t xml:space="preserve">Build standalone backend and frontend</w:t>
            </w:r>
          </w:p>
        </w:tc>
        <w:tc>
          <w:tcPr>
            <w:tcW w:w="2400" w:type="dxa"/>
          </w:tcPr>
          <w:p>
            <w:pPr/>
            <w:r>
              <w:rPr>
                <w:sz w:val="19"/>
                <w:szCs w:val="19"/>
              </w:rPr>
              <w:t xml:space="preserve">Both production builds complete with no missing relative imports.</w:t>
            </w:r>
          </w:p>
        </w:tc>
      </w:tr>
      <w:tr>
        <w:tc>
          <w:tcPr>
            <w:tcW w:w="2400" w:type="dxa"/>
          </w:tcPr>
          <w:p>
            <w:pPr/>
            <w:r>
              <w:rPr>
                <w:sz w:val="19"/>
                <w:szCs w:val="19"/>
              </w:rPr>
              <w:t xml:space="preserve">Migration</w:t>
            </w:r>
          </w:p>
        </w:tc>
        <w:tc>
          <w:tcPr>
            <w:tcW w:w="2400" w:type="dxa"/>
          </w:tcPr>
          <w:p>
            <w:pPr/>
            <w:r>
              <w:rPr>
                <w:sz w:val="19"/>
                <w:szCs w:val="19"/>
              </w:rPr>
              <w:t xml:space="preserve">Apply migration in staging/production-approved window</w:t>
            </w:r>
          </w:p>
        </w:tc>
        <w:tc>
          <w:tcPr>
            <w:tcW w:w="2400" w:type="dxa"/>
          </w:tcPr>
          <w:p>
            <w:pPr/>
            <w:r>
              <w:rPr>
                <w:sz w:val="19"/>
                <w:szCs w:val="19"/>
              </w:rPr>
              <w:t xml:space="preserve">Schema exists; existing Larder/Great Larder totals are unchanged.</w:t>
            </w:r>
          </w:p>
        </w:tc>
      </w:tr>
      <w:tr>
        <w:tc>
          <w:tcPr>
            <w:tcW w:w="2400" w:type="dxa"/>
          </w:tcPr>
          <w:p>
            <w:pPr/>
            <w:r>
              <w:rPr>
                <w:sz w:val="19"/>
                <w:szCs w:val="19"/>
              </w:rPr>
              <w:t xml:space="preserve">Flip UX</w:t>
            </w:r>
          </w:p>
        </w:tc>
        <w:tc>
          <w:tcPr>
            <w:tcW w:w="2400" w:type="dxa"/>
          </w:tcPr>
          <w:p>
            <w:pPr/>
            <w:r>
              <w:rPr>
                <w:sz w:val="19"/>
                <w:szCs w:val="19"/>
              </w:rPr>
              <w:t xml:space="preserve">Click each card repeatedly</w:t>
            </w:r>
          </w:p>
        </w:tc>
        <w:tc>
          <w:tcPr>
            <w:tcW w:w="2400" w:type="dxa"/>
          </w:tcPr>
          <w:p>
            <w:pPr/>
            <w:r>
              <w:rPr>
                <w:sz w:val="19"/>
                <w:szCs w:val="19"/>
              </w:rPr>
              <w:t xml:space="preserve">Cycle is Soft → Hard → Investments → Soft with no lock-up after the first flip.</w:t>
            </w:r>
          </w:p>
        </w:tc>
      </w:tr>
      <w:tr>
        <w:tc>
          <w:tcPr>
            <w:tcW w:w="2400" w:type="dxa"/>
          </w:tcPr>
          <w:p>
            <w:pPr/>
            <w:r>
              <w:rPr>
                <w:sz w:val="19"/>
                <w:szCs w:val="19"/>
              </w:rPr>
              <w:t xml:space="preserve">Personal allocation</w:t>
            </w:r>
          </w:p>
        </w:tc>
        <w:tc>
          <w:tcPr>
            <w:tcW w:w="2400" w:type="dxa"/>
          </w:tcPr>
          <w:p>
            <w:pPr/>
            <w:r>
              <w:rPr>
                <w:sz w:val="19"/>
                <w:szCs w:val="19"/>
              </w:rPr>
              <w:t xml:space="preserve">Deposit, assign to each bucket, spend/transfer/dedicate from each</w:t>
            </w:r>
          </w:p>
        </w:tc>
        <w:tc>
          <w:tcPr>
            <w:tcW w:w="2400" w:type="dxa"/>
          </w:tcPr>
          <w:p>
            <w:pPr/>
            <w:r>
              <w:rPr>
                <w:sz w:val="19"/>
                <w:szCs w:val="19"/>
              </w:rPr>
              <w:t xml:space="preserve">Only the selected bucket changes and balance checks are enforced.</w:t>
            </w:r>
          </w:p>
        </w:tc>
      </w:tr>
      <w:tr>
        <w:tc>
          <w:tcPr>
            <w:tcW w:w="2400" w:type="dxa"/>
          </w:tcPr>
          <w:p>
            <w:pPr/>
            <w:r>
              <w:rPr>
                <w:sz w:val="19"/>
                <w:szCs w:val="19"/>
              </w:rPr>
              <w:t xml:space="preserve">Great Larder allocation</w:t>
            </w:r>
          </w:p>
        </w:tc>
        <w:tc>
          <w:tcPr>
            <w:tcW w:w="2400" w:type="dxa"/>
          </w:tcPr>
          <w:p>
            <w:pPr/>
            <w:r>
              <w:rPr>
                <w:sz w:val="19"/>
                <w:szCs w:val="19"/>
              </w:rPr>
              <w:t xml:space="preserve">Contribute, assign as head, spend/dedicate from each</w:t>
            </w:r>
          </w:p>
        </w:tc>
        <w:tc>
          <w:tcPr>
            <w:tcW w:w="2400" w:type="dxa"/>
          </w:tcPr>
          <w:p>
            <w:pPr/>
            <w:r>
              <w:rPr>
                <w:sz w:val="19"/>
                <w:szCs w:val="19"/>
              </w:rPr>
              <w:t xml:space="preserve">Role checks and bucket-specific balances work.</w:t>
            </w:r>
          </w:p>
        </w:tc>
      </w:tr>
      <w:tr>
        <w:tc>
          <w:tcPr>
            <w:tcW w:w="2400" w:type="dxa"/>
          </w:tcPr>
          <w:p>
            <w:pPr/>
            <w:r>
              <w:rPr>
                <w:sz w:val="19"/>
                <w:szCs w:val="19"/>
              </w:rPr>
              <w:t xml:space="preserve">Concurrency</w:t>
            </w:r>
          </w:p>
        </w:tc>
        <w:tc>
          <w:tcPr>
            <w:tcW w:w="2400" w:type="dxa"/>
          </w:tcPr>
          <w:p>
            <w:pPr/>
            <w:r>
              <w:rPr>
                <w:sz w:val="19"/>
                <w:szCs w:val="19"/>
              </w:rPr>
              <w:t xml:space="preserve">Two assignment requests against the same waiting-room balance</w:t>
            </w:r>
          </w:p>
        </w:tc>
        <w:tc>
          <w:tcPr>
            <w:tcW w:w="2400" w:type="dxa"/>
          </w:tcPr>
          <w:p>
            <w:pPr/>
            <w:r>
              <w:rPr>
                <w:sz w:val="19"/>
                <w:szCs w:val="19"/>
              </w:rPr>
              <w:t xml:space="preserve">At most the available balance is allocated; no partial debit/credit pair.</w:t>
            </w:r>
          </w:p>
        </w:tc>
      </w:tr>
      <w:tr>
        <w:tc>
          <w:tcPr>
            <w:tcW w:w="2400" w:type="dxa"/>
          </w:tcPr>
          <w:p>
            <w:pPr/>
            <w:r>
              <w:rPr>
                <w:sz w:val="19"/>
                <w:szCs w:val="19"/>
              </w:rPr>
              <w:t xml:space="preserve">Regression</w:t>
            </w:r>
          </w:p>
        </w:tc>
        <w:tc>
          <w:tcPr>
            <w:tcW w:w="2400" w:type="dxa"/>
          </w:tcPr>
          <w:p>
            <w:pPr/>
            <w:r>
              <w:rPr>
                <w:sz w:val="19"/>
                <w:szCs w:val="19"/>
              </w:rPr>
              <w:t xml:space="preserve">Login, household access, approvals, history, currency breakdowns</w:t>
            </w:r>
          </w:p>
        </w:tc>
        <w:tc>
          <w:tcPr>
            <w:tcW w:w="2400" w:type="dxa"/>
          </w:tcPr>
          <w:p>
            <w:pPr/>
            <w:r>
              <w:rPr>
                <w:sz w:val="19"/>
                <w:szCs w:val="19"/>
              </w:rPr>
              <w:t xml:space="preserve">Existing behavior remains intact outside the bucket feature.</w:t>
            </w:r>
          </w:p>
        </w:tc>
      </w:tr>
    </w:tbl>
    <w:p>
      <w:r>
        <w:br w:type="page"/>
      </w:r>
    </w:p>
    <w:p>
      <w:pPr>
        <w:pStyle w:val="Heading1"/>
        <w:spacing w:before="0" w:after="140"/>
        <w:keepNext/>
      </w:pPr>
      <w:r>
        <w:t xml:space="preserve">6. Deployment sequence — only after permission</w:t>
      </w:r>
    </w:p>
    <w:p>
      <w:pPr>
        <w:spacing w:before="0" w:after="120"/>
      </w:pPr>
      <w:r>
        <w:t xml:space="preserve">The order below is the recommended production sequence. Each step is a stop point; if a gate fails, stop and use the rollback section rather than continuing.</w:t>
      </w:r>
    </w:p>
    <w:p>
      <w:pPr>
        <w:pStyle w:val="ListNumber"/>
        <w:ilvl w:val="0"/>
        <w:spacing w:after="60"/>
      </w:pPr>
      <w:r>
        <w:t xml:space="preserve">Confirm written/explicit permission to push the prepared release.</w:t>
      </w:r>
    </w:p>
    <w:p>
      <w:pPr>
        <w:pStyle w:val="ListNumber"/>
        <w:ilvl w:val="0"/>
        <w:spacing w:after="60"/>
      </w:pPr>
      <w:r>
        <w:t xml:space="preserve">Fetch/rebase or otherwise reconcile the release branch against the current remote main. Resolve conflicts manually; never force-push shared main.</w:t>
      </w:r>
    </w:p>
    <w:p>
      <w:pPr>
        <w:pStyle w:val="ListNumber"/>
        <w:ilvl w:val="0"/>
        <w:spacing w:after="60"/>
      </w:pPr>
      <w:r>
        <w:t xml:space="preserve">Run the standalone backend and frontend builds from export/.</w:t>
      </w:r>
    </w:p>
    <w:p>
      <w:pPr>
        <w:pStyle w:val="ListNumber"/>
        <w:ilvl w:val="0"/>
        <w:spacing w:after="60"/>
      </w:pPr>
      <w:r>
        <w:t xml:space="preserve">Push the approved release commit to the authorized remote branch. This is the first step in this plan that changes the remote repository.</w:t>
      </w:r>
    </w:p>
    <w:p>
      <w:pPr>
        <w:pStyle w:val="ListNumber"/>
        <w:ilvl w:val="0"/>
        <w:spacing w:after="60"/>
      </w:pPr>
      <w:r>
        <w:t xml:space="preserve">Deploy backend first. Wait for the backend health check and migration logs to show success.</w:t>
      </w:r>
    </w:p>
    <w:p>
      <w:pPr>
        <w:pStyle w:val="ListNumber"/>
        <w:ilvl w:val="0"/>
        <w:spacing w:after="60"/>
      </w:pPr>
      <w:r>
        <w:t xml:space="preserve">Run read-only API smoke tests against the deployed backend: authentication, GET /larder, GET /great-larder, and unauthorized access behavior.</w:t>
      </w:r>
    </w:p>
    <w:p>
      <w:pPr>
        <w:pStyle w:val="ListNumber"/>
        <w:ilvl w:val="0"/>
        <w:spacing w:after="60"/>
      </w:pPr>
      <w:r>
        <w:t xml:space="preserve">Apply/verify the database migration according to the hosting environment’s migration process. Confirm totals before and after.</w:t>
      </w:r>
    </w:p>
    <w:p>
      <w:pPr>
        <w:pStyle w:val="ListNumber"/>
        <w:ilvl w:val="0"/>
        <w:spacing w:after="60"/>
      </w:pPr>
      <w:r>
        <w:t xml:space="preserve">Deploy frontend second, pointing it at the verified backend URL.</w:t>
      </w:r>
    </w:p>
    <w:p>
      <w:pPr>
        <w:pStyle w:val="ListNumber"/>
        <w:ilvl w:val="0"/>
        <w:spacing w:after="60"/>
      </w:pPr>
      <w:r>
        <w:t xml:space="preserve">Run the end-to-end smoke test using a test account/household: flip repeatedly, assign funds to Investments, return to Soft Savings, and perform one selected-bucket action.</w:t>
      </w:r>
    </w:p>
    <w:p>
      <w:pPr>
        <w:pStyle w:val="ListNumber"/>
        <w:ilvl w:val="0"/>
        <w:spacing w:after="60"/>
      </w:pPr>
      <w:r>
        <w:t xml:space="preserve">Monitor backend errors, database constraint errors, 4xx rates, and frontend console errors for the agreed observation window.</w:t>
      </w:r>
    </w:p>
    <w:p>
      <w:pPr>
        <w:pStyle w:val="ListNumber"/>
        <w:ilvl w:val="0"/>
        <w:spacing w:after="60"/>
      </w:pPr>
      <w:r>
        <w:t xml:space="preserve">Only after the observation window passes should the release be considered complete.</w:t>
      </w:r>
    </w:p>
    <w:p>
      <w:pPr>
        <w:pStyle w:val="Heading1"/>
        <w:spacing w:before="0" w:after="140"/>
        <w:keepNext/>
      </w:pPr>
      <w:r>
        <w:t xml:space="preserve">7. Rollback plan</w:t>
      </w:r>
    </w:p>
    <w:p>
      <w:pPr>
        <w:pStyle w:val="ListBullet"/>
        <w:ilvl w:val="0"/>
        <w:spacing w:after="60"/>
      </w:pPr>
      <w:r>
        <w:t xml:space="preserve">Frontend rollback: redeploy the previous export/frontend build. The old frontend can still read grand totals after the nullable schema migration, but it will not expose the new bucket features.</w:t>
      </w:r>
    </w:p>
    <w:p>
      <w:pPr>
        <w:pStyle w:val="ListBullet"/>
        <w:ilvl w:val="0"/>
        <w:spacing w:after="60"/>
      </w:pPr>
      <w:r>
        <w:t xml:space="preserve">Backend rollback: redeploy the previous export/backend build only after confirming it is compatible with the added nullable columns. Do not drop the new columns during an application rollback.</w:t>
      </w:r>
    </w:p>
    <w:p>
      <w:pPr>
        <w:pStyle w:val="ListBullet"/>
        <w:ilvl w:val="0"/>
        <w:spacing w:after="60"/>
      </w:pPr>
      <w:r>
        <w:t xml:space="preserve">Database rollback: do not immediately drop bucket columns. Preserve them until the application rollback decision is reviewed; dropping them would destroy allocation state created by the new release.</w:t>
      </w:r>
    </w:p>
    <w:p>
      <w:pPr>
        <w:pStyle w:val="ListBullet"/>
        <w:ilvl w:val="0"/>
        <w:spacing w:after="60"/>
      </w:pPr>
      <w:r>
        <w:t xml:space="preserve">If an assignment creates a mismatch, stop writes, inspect the debit/credit pair by sourceType and timestamp, and repair through an audited database transaction. Never repair by deleting arbitrary Larder history.</w:t>
      </w:r>
    </w:p>
    <w:p>
      <w:pPr>
        <w:pStyle w:val="ListBullet"/>
        <w:ilvl w:val="0"/>
        <w:spacing w:after="60"/>
      </w:pPr>
      <w:r>
        <w:t xml:space="preserve">If remote push is rejected because origin/main advanced, fetch and rebase the release branch, rerun all build checks, and request permission again before retrying.</w:t>
      </w:r>
    </w:p>
    <w:p>
      <w:pPr>
        <w:pStyle w:val="Heading1"/>
        <w:spacing w:before="0" w:after="140"/>
        <w:keepNext/>
      </w:pPr>
      <w:r>
        <w:t xml:space="preserve">8. Data safety and invariants</w:t>
      </w:r>
    </w:p>
    <w:p>
      <w:pPr>
        <w:pStyle w:val="ListBullet"/>
        <w:ilvl w:val="0"/>
        <w:spacing w:after="60"/>
      </w:pPr>
      <w:r>
        <w:t xml:space="preserve">Larder is an independent savings ledger. Deleting a source transaction must not revert or delete a Larder deposit.</w:t>
      </w:r>
    </w:p>
    <w:p>
      <w:pPr>
        <w:pStyle w:val="ListBullet"/>
        <w:ilvl w:val="0"/>
        <w:spacing w:after="60"/>
      </w:pPr>
      <w:r>
        <w:t xml:space="preserve">Unassigned is a waiting room, not a spendable bucket.</w:t>
      </w:r>
    </w:p>
    <w:p>
      <w:pPr>
        <w:pStyle w:val="ListBullet"/>
        <w:ilvl w:val="0"/>
        <w:spacing w:after="60"/>
      </w:pPr>
      <w:r>
        <w:t xml:space="preserve">Every assignment must be atomic: waiting-room debit and selected-bucket credit commit together.</w:t>
      </w:r>
    </w:p>
    <w:p>
      <w:pPr>
        <w:pStyle w:val="ListBullet"/>
        <w:ilvl w:val="0"/>
        <w:spacing w:after="60"/>
      </w:pPr>
      <w:r>
        <w:t xml:space="preserve">All bucket-specific actions must be checked on the server, not trusted from the visible card state.</w:t>
      </w:r>
    </w:p>
    <w:p>
      <w:pPr>
        <w:pStyle w:val="ListBullet"/>
        <w:ilvl w:val="0"/>
        <w:spacing w:after="60"/>
      </w:pPr>
      <w:r>
        <w:t xml:space="preserve">Currency balances are asset-specific. A sufficient total after conversion is not enough if the selected native-currency asset is insufficient.</w:t>
      </w:r>
    </w:p>
    <w:p>
      <w:pPr>
        <w:pStyle w:val="ListBullet"/>
        <w:ilvl w:val="0"/>
        <w:spacing w:after="60"/>
      </w:pPr>
      <w:r>
        <w:t xml:space="preserve">The flip action itself must remain side-effect free and can be repeated without limit.</w:t>
      </w:r>
    </w:p>
    <w:p>
      <w:pPr>
        <w:pStyle w:val="Heading1"/>
        <w:spacing w:before="0" w:after="140"/>
        <w:keepNext/>
      </w:pPr>
      <w:r>
        <w:t xml:space="preserve">9. Approval checklist</w:t>
      </w:r>
    </w:p>
    <w:p>
      <w:pPr>
        <w:spacing w:before="0" w:after="80"/>
      </w:pPr>
      <w:r>
        <w:t xml:space="preserve">☐ I approve preparing the export parity patch.</w:t>
      </w:r>
    </w:p>
    <w:p>
      <w:pPr>
        <w:spacing w:before="0" w:after="80"/>
      </w:pPr>
      <w:r>
        <w:t xml:space="preserve">☐ I approve creating/applying the production database migration during an agreed window.</w:t>
      </w:r>
    </w:p>
    <w:p>
      <w:pPr>
        <w:spacing w:before="0" w:after="80"/>
      </w:pPr>
      <w:r>
        <w:t xml:space="preserve">☐ I approve pushing the release commit to the remote repository.</w:t>
      </w:r>
    </w:p>
    <w:p>
      <w:pPr>
        <w:spacing w:before="0" w:after="80"/>
      </w:pPr>
      <w:r>
        <w:t xml:space="preserve">☐ I approve deploying the backend first and frontend second.</w:t>
      </w:r>
    </w:p>
    <w:p>
      <w:pPr>
        <w:spacing w:before="0" w:after="80"/>
      </w:pPr>
      <w:r>
        <w:t xml:space="preserve">☐ I approve the rollback/monitoring window and test account procedure.</w:t>
      </w:r>
    </w:p>
    <w:p>
      <w:pPr>
        <w:pStyle w:val="Heading1"/>
        <w:spacing w:before="0" w:after="140"/>
        <w:keepNext/>
      </w:pPr>
      <w:r>
        <w:t xml:space="preserve">10. Final status of this review</w:t>
      </w:r>
    </w:p>
    <w:p>
      <w:pPr>
        <w:spacing w:before="0" w:after="120"/>
      </w:pPr>
      <w:r>
        <w:t xml:space="preserve">Plan complete. The production correction is not yet pushed or deployed. The next implementation step, if authorized, is to prepare a parity patch in export/ and run standalone build/typecheck gates before any remote write.</w:t>
      </w:r>
    </w:p>
    <w:sectPr>
      <w:pgSz w:w="12240" w:h="15840"/>
      <w:pgMar w:top="900" w:right="900" w:bottom="900" w:left="900" w:header="450" w:footer="450" w:gutter="0"/>
    </w:sectPr>
  </w:body>
</w:document>
</file>

<file path=word/styles.xml><?xml version="1.0" encoding="utf-8"?>
<w:styles xmlns:w="http://schemas.openxmlformats.org/wordprocessingml/2006/main">
  <w:style w:type="paragraph" w:default="1" w:styleId="Normal">
    <w:name w:val="Normal"/>
    <w:rPr>
      <w:fonts w:ascii="Aptos" w:hAnsi="Aptos"/>
      <w:sz w:val="21"/>
      <w:szCs w:val="21"/>
      <w:color w:val="1F2937"/>
    </w:rPr>
  </w:style>
  <w:style w:type="paragraph" w:styleId="Title">
    <w:name w:val="Title"/>
    <w:basedOn w:val="Normal"/>
    <w:next w:val="Normal"/>
    <w:rPr>
      <w:b/>
      <w:fonts w:ascii="Aptos Display" w:hAnsi="Aptos Display"/>
      <w:sz w:val="36"/>
      <w:szCs w:val="36"/>
      <w:color w:val="111827"/>
    </w:rPr>
  </w:style>
  <w:style w:type="paragraph" w:styleId="Subtitle">
    <w:name w:val="Subtitle"/>
    <w:basedOn w:val="Normal"/>
    <w:rPr>
      <w:fonts w:ascii="Aptos" w:hAnsi="Aptos"/>
      <w:sz w:val="24"/>
      <w:szCs w:val="24"/>
      <w:color w:val="6B7280"/>
    </w:rPr>
  </w:style>
  <w:style w:type="paragraph" w:styleId="Heading1">
    <w:name w:val="Heading 1"/>
    <w:basedOn w:val="Normal"/>
    <w:next w:val="Normal"/>
    <w:keepNext/>
    <w:rPr>
      <w:b/>
      <w:fonts w:ascii="Aptos Display" w:hAnsi="Aptos Display"/>
      <w:sz w:val="27"/>
      <w:szCs w:val="27"/>
      <w:color w:val="0F766E"/>
    </w:rPr>
  </w:style>
  <w:style w:type="paragraph" w:styleId="Heading2">
    <w:name w:val="Heading 2"/>
    <w:basedOn w:val="Normal"/>
    <w:next w:val="Normal"/>
    <w:keepNext/>
    <w:rPr>
      <w:b/>
      <w:fonts w:ascii="Aptos Display" w:hAnsi="Aptos Display"/>
      <w:sz w:val="23"/>
      <w:szCs w:val="23"/>
      <w:color w:val="374151"/>
    </w:rPr>
  </w:style>
  <w:style w:type="paragraph" w:styleId="ListBullet">
    <w:name w:val="List Bullet"/>
    <w:basedOn w:val="Normal"/>
    <w:pPr>
      <w:ind w:left="360" w:hanging="180"/>
    </w:pPr>
  </w:style>
  <w:style w:type="paragraph" w:styleId="ListNumber">
    <w:name w:val="List Number"/>
    <w:basedOn w:val="Normal"/>
    <w:pPr>
      <w:ind w:left="360" w:hanging="180"/>
    </w:pPr>
  </w:style>
  <w:style w:type="table" w:styleId="TableGrid">
    <w:name w:val="Table Gri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