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pending</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the mutation rejection, keep the sheet open, and show an actionable error; test permission, network, and stale-session failures.</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network and parsing failures, set the split modal error, and verify the loading flag releases for HTTP, offline, and rejected-fetch paths.</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deletion failures, preserve the confirmation state, and test server rejection, offline, and successful cache-clearing paths.</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catch/error feedback and close or preserve the prompt deliberately; test rule lookup failure, update failure, and successful disable behavior.</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Wrap all invite actions in catch/finally, restore a retryable state, and surface an actionable error; await/catch auto-accept from the effect and test network, CSRF, HTTP, invalidation, accept, and decline failures.</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abortable upload request and clear the timeout; distinguish cancellation from a real failure and test stalled upload, retry, late server completion, and successful upload.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the proposal mutations through the shared CSRF-aware helper, remove the duplicate wrapper, and add success, 403, network-failure, and loading-state tests.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and create the category in one transaction with a row lock or conditional status update; roll back on failure and add concurrent-accept and mid-write failure tests.</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Remount the child tree or provide a full-page reload fallback when retrying, while preserving a safe error message; test deterministic render failure and successful recovery.</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Only complete onboarding after the server update succeeds; on failure keep the step open, show retryable feedback, and preserve entered values. Add API-failure, retry, and successful-completion tests.</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Pass the mapped currencySymbol(prefs.currency) value to Live Activity and add native payload assertions for USD, EUR, GBP, and PLN.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