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Design one shared timeout/cancellation policy for interactive requests and queue replay, preserving upload-specific limits; test network hangs, retries, and loading-state release.</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Perform the balance validation and both ledger inserts in one database transaction with concurrency-safe locking/conditional checks; test mid-transaction failure and simultaneous sends.</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Require an ownership or explicit household-authorization predicate in the delete query, and perform deletion plus goal-state/activity recalculation in one authorized transaction; add cross-user and household authorization tests.</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transaction creation, unique monthly-log claim, and optional Larder credit in one transaction; treat a lost log claim as a no-op with rollback, and add concurrent-apply and mid-write failure tests.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Consume the reset token with an atomic conditional UPDATE/transaction that requires the still-present token and expiry, return success only when one request claims it, and add concurrent reset-link tests.</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Require an idempotency key or deterministic source-event fingerprint for Apple webhook writes, claim it atomically before insertion, and add retry/lost-response tests that prove one purchase creates one transaction.</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When transactionId is provided, require ownership by the caller (or an explicitly permitted household rule), reject missing/deleted/foreign transactions, and add cross-user and household authorization tests.</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a database unique constraint on (user_id, activity_id) and use an atomic upsert for registration; add concurrent registration and duplicate-push regression tests.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Require the category to belong to the session user before recording a merchant rule, scope enrichRule's category query by userId, and add cross-user category privacy tests.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Great Larder fund/spend transaction and ledger writes atomic, validate category ownership, and claim the selected bucket/currency balance under a transaction/row lock or equivalent conditional update; add failure and concurrent-spend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Apply the same personal-versus-household goal authorization rule used by POST /goal-contributions before any Larder mutation, and add cross-user personal-goal and same-household goal tests.</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