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finished</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transaction creation and edits now send goal/Larder allocation in the same atomic backend transaction as the transaction write; replacement failures roll back, and the editor remains open for retry. The frontend allocation path now compiles and passes production build checks.</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Larder spending now validates the selected asset and writes the From Larder transaction plus deduction in one atomic database transaction; missing returned rows and deduction failures roll back the complete operation. Added regression coverage for success and mid-write failure.</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Larder spends now lock the stable user row before reading balances, so concurrent requests serialize and re-check the selected asset after the earlier spend commits. Added simultaneous-spend and insufficient-after-race regression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household deletion now locks and revalidates the head membership, clears all member household links and household category links with set-based updates, removes memberships, and deletes the household inside one database transaction. Added failure-injection coverage for every cleanup write and retry coverage after a failed attempt.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household leave now locks the household and commits membership removal, profile detachment, category unsharing, and invite cancellation in one atomic transaction; notifications/push remain after commit. Added failure-injection and retry regression coverage.</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account-deletion scheduling now commits together with any household head transfer and recurring-payment ownership change; notification-center and push delivery run after commit as best-effort work. Added failure-injection, retry, and notification-failure regression coverage.</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fund/spend now write the transaction and ledger entry in one database transaction; category IDs are validated against the caller; spending locks the household row while checking the selected bucket/currency balance, preventing concurrent overdrafts. Added rollback, category-ownership, and concurrent-spend regression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goal saves now lock the goal, enforce each contributor's remaining balance, and write the negative goal contribution plus Great Larder credit atomically. Idempotency keys make retries safe, failures roll back together, concurrent saves serialize, and regression tests cover rollback, conflicts, retries, and concurrency.</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