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CAEC" w14:textId="0E8DCFBD" w:rsidR="0000619C" w:rsidRPr="00E30807" w:rsidRDefault="0000619C" w:rsidP="0000619C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FLEISS KAPPA SCORE FOR INTER-RATER RELIABILITY USING R STUDIO 1.2.5033</w:t>
      </w:r>
    </w:p>
    <w:tbl>
      <w:tblPr>
        <w:tblW w:w="9000" w:type="dxa"/>
        <w:tblInd w:w="175" w:type="dxa"/>
        <w:tblLook w:val="04A0" w:firstRow="1" w:lastRow="0" w:firstColumn="1" w:lastColumn="0" w:noHBand="0" w:noVBand="1"/>
      </w:tblPr>
      <w:tblGrid>
        <w:gridCol w:w="785"/>
        <w:gridCol w:w="2440"/>
        <w:gridCol w:w="1640"/>
        <w:gridCol w:w="1460"/>
        <w:gridCol w:w="2675"/>
      </w:tblGrid>
      <w:tr w:rsidR="0000619C" w:rsidRPr="00E30807" w14:paraId="22CF1619" w14:textId="77777777" w:rsidTr="00E204D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9F9992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D36E13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OUTCOMES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32A84B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 OF SUBJECTS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6F137A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 OF RATERS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4AD4B7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FLEISS'S KAPPA SCORE </w:t>
            </w:r>
          </w:p>
        </w:tc>
      </w:tr>
      <w:tr w:rsidR="0000619C" w:rsidRPr="00E30807" w14:paraId="578EBE98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7799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2378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MITRAL REGURGITATION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61E0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9975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D122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</w:tr>
      <w:tr w:rsidR="0000619C" w:rsidRPr="00E30807" w14:paraId="2A5120EB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C4BB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08E9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MITRAL STENOSIS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975A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4730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E110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</w:tr>
      <w:tr w:rsidR="0000619C" w:rsidRPr="00E30807" w14:paraId="6D67F237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A5D3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49F3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AORTIC REGURGITATION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AEE5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42D5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D5B3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</w:tr>
      <w:tr w:rsidR="0000619C" w:rsidRPr="00E30807" w14:paraId="204EA14D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1F0B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B499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AORTIC STENOSIS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35FC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EDAC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B342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</w:tr>
      <w:tr w:rsidR="0000619C" w:rsidRPr="00E30807" w14:paraId="3B974772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D4E7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51CD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FLOW GRADIENT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DB92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4F6D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C4D6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</w:tr>
      <w:tr w:rsidR="0000619C" w:rsidRPr="00E30807" w14:paraId="32C95FD7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A400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67B2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DIASTOLIC FUNCTION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D61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9AA7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A83F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</w:tr>
      <w:tr w:rsidR="0000619C" w:rsidRPr="00E30807" w14:paraId="0A849771" w14:textId="77777777" w:rsidTr="00E204D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849B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35C8" w14:textId="77777777" w:rsidR="0000619C" w:rsidRPr="00E30807" w:rsidRDefault="0000619C" w:rsidP="00E204D4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EJECTION FRACTION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FCB8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E820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DFD4" w14:textId="77777777" w:rsidR="0000619C" w:rsidRPr="00E30807" w:rsidRDefault="0000619C" w:rsidP="00E204D4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</w:tr>
    </w:tbl>
    <w:p w14:paraId="1BB29236" w14:textId="77777777" w:rsidR="0000619C" w:rsidRPr="00E30807" w:rsidRDefault="0000619C" w:rsidP="0000619C">
      <w:pPr>
        <w:spacing w:line="480" w:lineRule="auto"/>
        <w:rPr>
          <w:b/>
          <w:bCs/>
          <w:sz w:val="24"/>
          <w:szCs w:val="24"/>
        </w:rPr>
      </w:pPr>
    </w:p>
    <w:p w14:paraId="2C9FD206" w14:textId="77777777" w:rsidR="0000619C" w:rsidRPr="00E30807" w:rsidRDefault="0000619C" w:rsidP="0000619C">
      <w:pPr>
        <w:spacing w:line="480" w:lineRule="auto"/>
        <w:rPr>
          <w:sz w:val="24"/>
          <w:szCs w:val="24"/>
        </w:rPr>
      </w:pPr>
      <w:r w:rsidRPr="00E30807">
        <w:rPr>
          <w:sz w:val="24"/>
          <w:szCs w:val="24"/>
        </w:rPr>
        <w:t xml:space="preserve">‘irr’ and ‘lpsolve’ packages have been used in R to compute the Fleiss kappa </w:t>
      </w:r>
      <w:proofErr w:type="gramStart"/>
      <w:r w:rsidRPr="00E30807">
        <w:rPr>
          <w:sz w:val="24"/>
          <w:szCs w:val="24"/>
        </w:rPr>
        <w:t>scor</w:t>
      </w:r>
      <w:r>
        <w:rPr>
          <w:sz w:val="24"/>
          <w:szCs w:val="24"/>
        </w:rPr>
        <w:t>e</w:t>
      </w:r>
      <w:proofErr w:type="gramEnd"/>
    </w:p>
    <w:p w14:paraId="658A9F2A" w14:textId="77777777" w:rsidR="00822E14" w:rsidRDefault="00822E14"/>
    <w:sectPr w:rsidR="0082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9C"/>
    <w:rsid w:val="0000619C"/>
    <w:rsid w:val="008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C1FD"/>
  <w15:chartTrackingRefBased/>
  <w15:docId w15:val="{654ABF31-9B9D-4744-B861-8E6BDE9D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1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>Houston Methodist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1</cp:revision>
  <dcterms:created xsi:type="dcterms:W3CDTF">2024-01-30T17:33:00Z</dcterms:created>
  <dcterms:modified xsi:type="dcterms:W3CDTF">2024-01-30T17:35:00Z</dcterms:modified>
</cp:coreProperties>
</file>