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272"/>
        <w:gridCol w:w="3307"/>
        <w:gridCol w:w="1053"/>
        <w:gridCol w:w="1203"/>
        <w:gridCol w:w="1350"/>
        <w:gridCol w:w="1710"/>
      </w:tblGrid>
      <w:tr w:rsidR="008E4712" w14:paraId="0F695503" w14:textId="77777777" w:rsidTr="00E204D4">
        <w:tc>
          <w:tcPr>
            <w:tcW w:w="1272" w:type="dxa"/>
          </w:tcPr>
          <w:p w14:paraId="712DD219" w14:textId="77777777" w:rsidR="008E4712" w:rsidRDefault="008E4712" w:rsidP="00E204D4">
            <w:pPr>
              <w:spacing w:line="480" w:lineRule="auto"/>
            </w:pPr>
            <w:r>
              <w:rPr>
                <w:rFonts w:ascii="Calibri" w:hAnsi="Calibri" w:cs="Calibri"/>
                <w:b/>
                <w:bCs/>
                <w:color w:val="000000"/>
              </w:rPr>
              <w:t>Parameters</w:t>
            </w:r>
          </w:p>
        </w:tc>
        <w:tc>
          <w:tcPr>
            <w:tcW w:w="3307" w:type="dxa"/>
            <w:vAlign w:val="bottom"/>
          </w:tcPr>
          <w:p w14:paraId="05E20F5B" w14:textId="77777777" w:rsidR="008E4712" w:rsidRDefault="008E4712" w:rsidP="00E204D4">
            <w:pPr>
              <w:spacing w:line="480" w:lineRule="auto"/>
            </w:pPr>
            <w:r>
              <w:rPr>
                <w:rFonts w:ascii="Calibri" w:hAnsi="Calibri" w:cs="Calibri"/>
                <w:b/>
                <w:bCs/>
              </w:rPr>
              <w:t>Machine leaning model pipelines</w:t>
            </w:r>
          </w:p>
        </w:tc>
        <w:tc>
          <w:tcPr>
            <w:tcW w:w="1053" w:type="dxa"/>
            <w:vAlign w:val="bottom"/>
          </w:tcPr>
          <w:p w14:paraId="4C73DCB7" w14:textId="77777777" w:rsidR="008E4712" w:rsidRDefault="008E4712" w:rsidP="00E204D4">
            <w:pPr>
              <w:spacing w:line="480" w:lineRule="auto"/>
            </w:pPr>
            <w:r>
              <w:rPr>
                <w:rFonts w:ascii="Calibri" w:hAnsi="Calibri" w:cs="Calibri"/>
                <w:b/>
                <w:bCs/>
              </w:rPr>
              <w:t xml:space="preserve">Precision </w:t>
            </w:r>
          </w:p>
        </w:tc>
        <w:tc>
          <w:tcPr>
            <w:tcW w:w="1203" w:type="dxa"/>
            <w:vAlign w:val="bottom"/>
          </w:tcPr>
          <w:p w14:paraId="13E73D56" w14:textId="77777777" w:rsidR="008E4712" w:rsidRDefault="008E4712" w:rsidP="00E204D4">
            <w:pPr>
              <w:spacing w:line="480" w:lineRule="auto"/>
            </w:pPr>
            <w:r>
              <w:rPr>
                <w:rFonts w:ascii="Calibri" w:hAnsi="Calibri" w:cs="Calibri"/>
                <w:b/>
                <w:bCs/>
              </w:rPr>
              <w:t>Recall</w:t>
            </w:r>
          </w:p>
        </w:tc>
        <w:tc>
          <w:tcPr>
            <w:tcW w:w="1350" w:type="dxa"/>
            <w:vAlign w:val="bottom"/>
          </w:tcPr>
          <w:p w14:paraId="2928D274" w14:textId="77777777" w:rsidR="008E4712" w:rsidRDefault="008E4712" w:rsidP="00E204D4">
            <w:pPr>
              <w:spacing w:line="480" w:lineRule="auto"/>
            </w:pPr>
            <w:r>
              <w:rPr>
                <w:rFonts w:ascii="Calibri" w:hAnsi="Calibri" w:cs="Calibri"/>
                <w:b/>
                <w:bCs/>
              </w:rPr>
              <w:t>F1- Score</w:t>
            </w:r>
          </w:p>
        </w:tc>
        <w:tc>
          <w:tcPr>
            <w:tcW w:w="1710" w:type="dxa"/>
            <w:vAlign w:val="bottom"/>
          </w:tcPr>
          <w:p w14:paraId="1E1E6730" w14:textId="77777777" w:rsidR="008E4712" w:rsidRDefault="008E4712" w:rsidP="00E204D4">
            <w:pPr>
              <w:spacing w:line="480" w:lineRule="auto"/>
            </w:pPr>
            <w:r>
              <w:rPr>
                <w:rFonts w:ascii="Calibri" w:hAnsi="Calibri" w:cs="Calibri"/>
                <w:b/>
                <w:bCs/>
              </w:rPr>
              <w:t xml:space="preserve">Accuracy </w:t>
            </w:r>
          </w:p>
        </w:tc>
      </w:tr>
      <w:tr w:rsidR="008E4712" w14:paraId="631A0FA8" w14:textId="77777777" w:rsidTr="00E204D4">
        <w:trPr>
          <w:trHeight w:val="584"/>
        </w:trPr>
        <w:tc>
          <w:tcPr>
            <w:tcW w:w="1272" w:type="dxa"/>
            <w:vMerge w:val="restart"/>
            <w:tcBorders>
              <w:bottom w:val="single" w:sz="4" w:space="0" w:color="auto"/>
            </w:tcBorders>
          </w:tcPr>
          <w:p w14:paraId="56EF0CE2" w14:textId="77777777" w:rsidR="008E4712" w:rsidRDefault="008E4712" w:rsidP="00E204D4">
            <w:pPr>
              <w:spacing w:line="480" w:lineRule="auto"/>
            </w:pPr>
            <w:r>
              <w:t>MR</w:t>
            </w:r>
          </w:p>
          <w:p w14:paraId="2BCE2E2B" w14:textId="77777777" w:rsidR="008E4712" w:rsidRDefault="008E4712" w:rsidP="00E204D4">
            <w:pPr>
              <w:spacing w:line="480" w:lineRule="auto"/>
            </w:pPr>
            <w:r>
              <w:t>MS</w:t>
            </w:r>
          </w:p>
          <w:p w14:paraId="1FCDE8F6" w14:textId="77777777" w:rsidR="008E4712" w:rsidRDefault="008E4712" w:rsidP="00E204D4">
            <w:pPr>
              <w:spacing w:line="480" w:lineRule="auto"/>
            </w:pPr>
            <w:r>
              <w:t>AR</w:t>
            </w:r>
          </w:p>
          <w:p w14:paraId="396EE7D4" w14:textId="77777777" w:rsidR="008E4712" w:rsidRDefault="008E4712" w:rsidP="00E204D4">
            <w:pPr>
              <w:spacing w:line="480" w:lineRule="auto"/>
            </w:pPr>
            <w:r>
              <w:t>AS</w:t>
            </w:r>
          </w:p>
          <w:p w14:paraId="6EC08E46" w14:textId="77777777" w:rsidR="008E4712" w:rsidRDefault="008E4712" w:rsidP="00E204D4">
            <w:pPr>
              <w:spacing w:line="480" w:lineRule="auto"/>
            </w:pPr>
            <w:r>
              <w:t>DF</w:t>
            </w:r>
          </w:p>
          <w:p w14:paraId="6C1F0099" w14:textId="77777777" w:rsidR="008E4712" w:rsidRDefault="008E4712" w:rsidP="00E204D4">
            <w:pPr>
              <w:spacing w:line="480" w:lineRule="auto"/>
            </w:pPr>
            <w:r>
              <w:t>FG</w:t>
            </w:r>
          </w:p>
          <w:p w14:paraId="7C66E072" w14:textId="77777777" w:rsidR="008E4712" w:rsidRDefault="008E4712" w:rsidP="00E204D4">
            <w:pPr>
              <w:spacing w:line="480" w:lineRule="auto"/>
            </w:pPr>
            <w:r>
              <w:t>LVEF</w:t>
            </w:r>
          </w:p>
        </w:tc>
        <w:tc>
          <w:tcPr>
            <w:tcW w:w="3307" w:type="dxa"/>
            <w:tcBorders>
              <w:bottom w:val="single" w:sz="4" w:space="0" w:color="auto"/>
            </w:tcBorders>
          </w:tcPr>
          <w:p w14:paraId="11BD60CA" w14:textId="77777777" w:rsidR="008E4712" w:rsidRDefault="008E4712" w:rsidP="00E204D4">
            <w:pPr>
              <w:spacing w:line="480" w:lineRule="auto"/>
            </w:pPr>
            <w:r w:rsidRPr="000009CE">
              <w:t>TFIDF+(SMOTE+ENN)+stratified 5-fold CV (linear SVM)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center"/>
          </w:tcPr>
          <w:p w14:paraId="2936E419" w14:textId="77777777" w:rsidR="008E4712" w:rsidRDefault="008E4712" w:rsidP="00E204D4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100±0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center"/>
          </w:tcPr>
          <w:p w14:paraId="39D96E32" w14:textId="77777777" w:rsidR="008E4712" w:rsidRDefault="008E4712" w:rsidP="00E204D4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100±0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65654935" w14:textId="77777777" w:rsidR="008E4712" w:rsidRDefault="008E4712" w:rsidP="00E204D4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100±0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9B6564F" w14:textId="77777777" w:rsidR="008E4712" w:rsidRDefault="008E4712" w:rsidP="00E204D4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100±0</w:t>
            </w:r>
          </w:p>
        </w:tc>
      </w:tr>
      <w:tr w:rsidR="008E4712" w14:paraId="6ED584C3" w14:textId="77777777" w:rsidTr="00E204D4">
        <w:trPr>
          <w:trHeight w:val="701"/>
        </w:trPr>
        <w:tc>
          <w:tcPr>
            <w:tcW w:w="1272" w:type="dxa"/>
            <w:vMerge/>
            <w:tcBorders>
              <w:bottom w:val="single" w:sz="4" w:space="0" w:color="auto"/>
            </w:tcBorders>
          </w:tcPr>
          <w:p w14:paraId="79D77CB7" w14:textId="77777777" w:rsidR="008E4712" w:rsidRDefault="008E4712" w:rsidP="00E204D4">
            <w:pPr>
              <w:spacing w:line="480" w:lineRule="auto"/>
            </w:pPr>
          </w:p>
        </w:tc>
        <w:tc>
          <w:tcPr>
            <w:tcW w:w="3307" w:type="dxa"/>
            <w:tcBorders>
              <w:bottom w:val="single" w:sz="4" w:space="0" w:color="auto"/>
            </w:tcBorders>
          </w:tcPr>
          <w:p w14:paraId="5AD86CC5" w14:textId="77777777" w:rsidR="008E4712" w:rsidRDefault="008E4712" w:rsidP="00E204D4">
            <w:pPr>
              <w:spacing w:line="480" w:lineRule="auto"/>
            </w:pPr>
            <w:r w:rsidRPr="000009CE">
              <w:t>TFIDF+(SMOTE+ENN)+stratified 5-fold CV (RF)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center"/>
          </w:tcPr>
          <w:p w14:paraId="3BD197CF" w14:textId="77777777" w:rsidR="008E4712" w:rsidRDefault="008E4712" w:rsidP="00E204D4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100±0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center"/>
          </w:tcPr>
          <w:p w14:paraId="72B9BCA8" w14:textId="77777777" w:rsidR="008E4712" w:rsidRDefault="008E4712" w:rsidP="00E204D4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100±0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A877EC7" w14:textId="77777777" w:rsidR="008E4712" w:rsidRDefault="008E4712" w:rsidP="00E204D4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100±0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B177AFA" w14:textId="77777777" w:rsidR="008E4712" w:rsidRDefault="008E4712" w:rsidP="00E204D4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100±0</w:t>
            </w:r>
          </w:p>
        </w:tc>
      </w:tr>
      <w:tr w:rsidR="008E4712" w14:paraId="0F206ADD" w14:textId="77777777" w:rsidTr="00E204D4">
        <w:trPr>
          <w:trHeight w:val="269"/>
        </w:trPr>
        <w:tc>
          <w:tcPr>
            <w:tcW w:w="1272" w:type="dxa"/>
            <w:vMerge/>
            <w:tcBorders>
              <w:bottom w:val="single" w:sz="4" w:space="0" w:color="auto"/>
            </w:tcBorders>
          </w:tcPr>
          <w:p w14:paraId="105312AC" w14:textId="77777777" w:rsidR="008E4712" w:rsidRDefault="008E4712" w:rsidP="00E204D4">
            <w:pPr>
              <w:spacing w:line="480" w:lineRule="auto"/>
            </w:pPr>
          </w:p>
        </w:tc>
        <w:tc>
          <w:tcPr>
            <w:tcW w:w="3307" w:type="dxa"/>
            <w:tcBorders>
              <w:bottom w:val="single" w:sz="4" w:space="0" w:color="auto"/>
            </w:tcBorders>
          </w:tcPr>
          <w:p w14:paraId="5DFFFE44" w14:textId="77777777" w:rsidR="008E4712" w:rsidRDefault="008E4712" w:rsidP="00E204D4">
            <w:pPr>
              <w:spacing w:line="480" w:lineRule="auto"/>
            </w:pPr>
            <w:r w:rsidRPr="000009CE">
              <w:t>TFIDF+(SMOTE+ENN)+stratified 5-fold CV(XGBoost)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center"/>
          </w:tcPr>
          <w:p w14:paraId="40CA4FDE" w14:textId="77777777" w:rsidR="008E4712" w:rsidRDefault="008E4712" w:rsidP="00E204D4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100±0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center"/>
          </w:tcPr>
          <w:p w14:paraId="2C66D755" w14:textId="77777777" w:rsidR="008E4712" w:rsidRDefault="008E4712" w:rsidP="00E204D4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100±0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5FB000" w14:textId="77777777" w:rsidR="008E4712" w:rsidRDefault="008E4712" w:rsidP="00E204D4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100±0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1EF947D" w14:textId="77777777" w:rsidR="008E4712" w:rsidRDefault="008E4712" w:rsidP="00E204D4">
            <w:pPr>
              <w:spacing w:line="480" w:lineRule="auto"/>
              <w:jc w:val="center"/>
            </w:pPr>
            <w:r>
              <w:rPr>
                <w:rFonts w:ascii="Calibri" w:hAnsi="Calibri" w:cs="Calibri"/>
              </w:rPr>
              <w:t>100±0</w:t>
            </w:r>
          </w:p>
        </w:tc>
      </w:tr>
    </w:tbl>
    <w:p w14:paraId="67C6E125" w14:textId="77777777" w:rsidR="00822E14" w:rsidRDefault="00822E14"/>
    <w:p w14:paraId="157E51D5" w14:textId="69BB3A35" w:rsidR="008E4712" w:rsidRDefault="008E4712" w:rsidP="008E4712">
      <w:pPr>
        <w:spacing w:line="480" w:lineRule="auto"/>
      </w:pPr>
      <w:r w:rsidRPr="007F7157">
        <w:t xml:space="preserve">Performance of machine learning models to classify the severities of </w:t>
      </w:r>
      <w:r w:rsidRPr="00911231">
        <w:t xml:space="preserve">Mitral Regurgitation </w:t>
      </w:r>
      <w:r w:rsidRPr="007F7157">
        <w:t xml:space="preserve">(MR), </w:t>
      </w:r>
      <w:r w:rsidRPr="00911231">
        <w:t xml:space="preserve">Mitral Stenosis (MS), Aortic Regurgitation (AS), Aortic Stenosis (AS),Left Ventricular Diastolic Function(DF), Flow gradient </w:t>
      </w:r>
      <w:r>
        <w:t>across</w:t>
      </w:r>
      <w:r w:rsidRPr="00911231">
        <w:t xml:space="preserve"> Aortic </w:t>
      </w:r>
      <w:r>
        <w:t>S</w:t>
      </w:r>
      <w:r w:rsidRPr="00911231">
        <w:t>ten</w:t>
      </w:r>
      <w:r>
        <w:t>osis</w:t>
      </w:r>
      <w:r w:rsidRPr="00911231">
        <w:t xml:space="preserve"> (FG) and Left Ventricular Ejection Fraction (LVEF)</w:t>
      </w:r>
      <w:r w:rsidRPr="007F7157">
        <w:t xml:space="preserve"> on the echo validation dataset (N=28,035). TFIDF: term frequency inverse document frequency, SMOTE: synthetic minority oversampling technique, ENN: edited nearest neighbours, CV:cross validation, XGBoost: extreme gradient boosting, </w:t>
      </w:r>
      <w:proofErr w:type="spellStart"/>
      <w:r w:rsidRPr="007F7157">
        <w:t>SVM:support</w:t>
      </w:r>
      <w:proofErr w:type="spellEnd"/>
      <w:r w:rsidRPr="007F7157">
        <w:t xml:space="preserve"> vector machines, RF:random forest. Precision,recall,F1-score and accuracy are provided as mean±standard deviation.</w:t>
      </w:r>
    </w:p>
    <w:p w14:paraId="5487C698" w14:textId="77777777" w:rsidR="008E4712" w:rsidRDefault="008E4712"/>
    <w:sectPr w:rsidR="008E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12"/>
    <w:rsid w:val="00822E14"/>
    <w:rsid w:val="008E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6F28"/>
  <w15:chartTrackingRefBased/>
  <w15:docId w15:val="{0E4CB578-71D0-432A-AD9E-04F220AE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1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71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>Houston Methodist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Budhaditya</dc:creator>
  <cp:keywords/>
  <dc:description/>
  <cp:lastModifiedBy>Bose, Budhaditya</cp:lastModifiedBy>
  <cp:revision>1</cp:revision>
  <dcterms:created xsi:type="dcterms:W3CDTF">2024-01-30T17:08:00Z</dcterms:created>
  <dcterms:modified xsi:type="dcterms:W3CDTF">2024-01-30T17:10:00Z</dcterms:modified>
</cp:coreProperties>
</file>