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A6B6B" w:sz="8" w:space="4"/>
        </w:pBdr>
        <w:spacing w:after="160" w:before="320" w:line="320"/>
      </w:pPr>
      <w:r>
        <w:rPr>
          <w:rFonts w:ascii="Arial" w:cs="Arial" w:eastAsia="Arial" w:hAnsi="Arial"/>
          <w:b/>
          <w:bCs/>
          <w:color w:val="0D2B2B"/>
          <w:sz w:val="36"/>
          <w:szCs w:val="36"/>
        </w:rPr>
        <w:t xml:space="preserve">BAB VII IMPLEMENTASI / PDIS DENGAN SROI</w:t>
      </w:r>
    </w:p>
    <w:p>
      <w:pPr>
        <w:spacing w:after="160" w:before="0" w:line="340"/>
        <w:jc w:val="both"/>
      </w:pPr>
      <w:r>
        <w:rPr>
          <w:rFonts w:ascii="Arial" w:cs="Arial" w:eastAsia="Arial" w:hAnsi="Arial"/>
          <w:color w:val="111111"/>
          <w:sz w:val="26"/>
          <w:szCs w:val="26"/>
        </w:rPr>
        <w:t xml:space="preserve">Bab ini menyajikan seluruh rangkaian implementasi Program Enduro Sahabat Lapas secara terukur — dari kegiatan, stakeholder, dan investasi hingga outcome, fiksasi dampak, monetisasi nilai sosial, dan hasil evaluasi SROI. Semua angka pada bab ini bersumber dari Financial Calculation Engine dan dapat ditelusuri melalui calc_audit_log.</w:t>
      </w:r>
    </w:p>
    <w:p>
      <w:pPr>
        <w:pBdr>
          <w:bottom w:val="single" w:color="CCCCCC" w:sz="4" w:space="4"/>
        </w:pBdr>
        <w:spacing w:after="80" w:before="0"/>
      </w:pPr>
      <w:r>
        <w:rPr>
          <w:rFonts w:ascii="Arial" w:cs="Arial" w:eastAsia="Arial" w:hAnsi="Arial"/>
          <w:sz w:val="22"/>
          <w:szCs w:val="22"/>
        </w:rPr>
        <w:t xml:space="preserve"/>
      </w:r>
    </w:p>
    <w:p>
      <w:pPr>
        <w:pStyle w:val="Heading2"/>
        <w:spacing w:after="100" w:before="240" w:line="320"/>
      </w:pPr>
      <w:r>
        <w:rPr>
          <w:rFonts w:ascii="Arial" w:cs="Arial" w:eastAsia="Arial" w:hAnsi="Arial"/>
          <w:b/>
          <w:bCs/>
          <w:color w:val="0A6B6B"/>
          <w:sz w:val="26"/>
          <w:szCs w:val="26"/>
        </w:rPr>
        <w:t xml:space="preserve">7.1 Proses dan Kegiatan yang Dilakukan</w:t>
      </w:r>
    </w:p>
    <w:p>
      <w:pPr>
        <w:spacing w:after="120" w:before="0" w:line="320"/>
        <w:jc w:val="both"/>
      </w:pPr>
      <w:r>
        <w:rPr>
          <w:rFonts w:ascii="Arial" w:cs="Arial" w:eastAsia="Arial" w:hAnsi="Arial"/>
          <w:sz w:val="22"/>
          <w:szCs w:val="22"/>
        </w:rPr>
        <w:t xml:space="preserve">Program ESL dirancang sebagai intervensi vokasional produktif berbasis bengkel otomotif yang berjalan dalam tiga tahun program (2023–2025). Sepanjang periode tersebut, program melaksanakan 6 aktivitas terstruktur yang secara kumulatif membentuk jalur transisi dari pembinaan di Lapas menuju kemandirian ekonomi pasca-pembebasan.</w:t>
      </w:r>
    </w:p>
    <w:p>
      <w:pPr>
        <w:spacing w:after="120" w:before="0" w:line="320"/>
        <w:jc w:val="both"/>
      </w:pPr>
      <w:r>
        <w:rPr>
          <w:rFonts w:ascii="Arial" w:cs="Arial" w:eastAsia="Arial" w:hAnsi="Arial"/>
          <w:sz w:val="22"/>
          <w:szCs w:val="22"/>
        </w:rPr>
        <w:t xml:space="preserve">Tahun 2023: Pelatihan Teknis Mekanik · Product Knowledge Pelumas · Praktik Kerja Perbengkelan.</w:t>
      </w:r>
    </w:p>
    <w:p>
      <w:pPr>
        <w:spacing w:after="120" w:before="0" w:line="320"/>
        <w:jc w:val="both"/>
      </w:pPr>
      <w:r>
        <w:rPr>
          <w:rFonts w:ascii="Arial" w:cs="Arial" w:eastAsia="Arial" w:hAnsi="Arial"/>
          <w:sz w:val="22"/>
          <w:szCs w:val="22"/>
        </w:rPr>
        <w:t xml:space="preserve">Tahun 2024: Pembinaan Kewirausahaan · Pendampingan Unit Usaha.</w:t>
      </w:r>
    </w:p>
    <w:p>
      <w:pPr>
        <w:spacing w:after="120" w:before="0" w:line="320"/>
        <w:jc w:val="both"/>
      </w:pPr>
      <w:r>
        <w:rPr>
          <w:rFonts w:ascii="Arial" w:cs="Arial" w:eastAsia="Arial" w:hAnsi="Arial"/>
          <w:sz w:val="22"/>
          <w:szCs w:val="22"/>
        </w:rPr>
        <w:t xml:space="preserve">Tahun 2025: Penguatan Milenial Motor.</w:t>
      </w:r>
    </w:p>
    <w:p>
      <w:pPr>
        <w:pStyle w:val="Heading2"/>
        <w:spacing w:after="100" w:before="240" w:line="320"/>
      </w:pPr>
      <w:r>
        <w:rPr>
          <w:rFonts w:ascii="Arial" w:cs="Arial" w:eastAsia="Arial" w:hAnsi="Arial"/>
          <w:b/>
          <w:bCs/>
          <w:color w:val="0A6B6B"/>
          <w:sz w:val="26"/>
          <w:szCs w:val="26"/>
        </w:rPr>
        <w:t xml:space="preserve">7.2 Node Program</w:t>
      </w:r>
    </w:p>
    <w:p>
      <w:pPr>
        <w:spacing w:after="120" w:before="0" w:line="320"/>
        <w:jc w:val="both"/>
      </w:pPr>
      <w:r>
        <w:rPr>
          <w:rFonts w:ascii="Arial" w:cs="Arial" w:eastAsia="Arial" w:hAnsi="Arial"/>
          <w:sz w:val="22"/>
          <w:szCs w:val="22"/>
        </w:rPr>
        <w:t xml:space="preserve">Program beroperasi di 4 node/lokasi yang mencerminkan dua tipologi intervensi: bengkel di dalam Lapas (pembinaan WBP aktif) dan unit usaha eks-WBP (reintegrasi pasca-pembebasan). Keempat node tersebut adalah: Lapas Palembang, Bengkel Lapas IIB Sleman, Milenial Motor (Eks-WBP), Pemasyarakatan Corner.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A6B6B" w:sz="8"/>
              <w:left w:val="single" w:color="0A6B6B" w:sz="12"/>
              <w:bottom w:val="single" w:color="0A6B6B" w:sz="8"/>
              <w:right w:val="single" w:color="0A6B6B" w:sz="8"/>
            </w:tcBorders>
            <w:shd w:fill="EEF4FA" w:val="clear"/>
            <w:tcMar>
              <w:top w:type="dxa" w:w="140"/>
              <w:left w:type="dxa" w:w="220"/>
              <w:bottom w:type="dxa" w:w="140"/>
              <w:right w:type="dxa" w:w="220"/>
            </w:tcMar>
          </w:tcPr>
          <w:p>
            <w:pPr>
              <w:spacing w:after="0" w:before="0"/>
              <w:jc w:val="both"/>
            </w:pPr>
            <w:r>
              <w:rPr>
                <w:rFonts w:ascii="Arial" w:cs="Arial" w:eastAsia="Arial" w:hAnsi="Arial"/>
                <w:color w:val="111111"/>
                <w:sz w:val="20"/>
                <w:szCs w:val="20"/>
              </w:rPr>
              <w:t xml:space="preserve">Tiga dari empat node aktif menghasilkan transaksi terukur selama 2023–2025. Node Lapas Kota Palembang masih dalam fase pembentukan kapasitas dan belum menghasilkan transaksi langsung — temuan ini disajikan secara transparan sebagai bagian dari evaluasi jujur program.</w:t>
            </w:r>
          </w:p>
        </w:tc>
      </w:tr>
    </w:tbl>
    <w:p>
      <w:pPr>
        <w:spacing w:after="100" w:before="0"/>
      </w:pPr>
      <w:r>
        <w:rPr>
          <w:rFonts w:ascii="Arial" w:cs="Arial" w:eastAsia="Arial" w:hAnsi="Arial"/>
          <w:sz w:val="22"/>
          <w:szCs w:val="22"/>
        </w:rPr>
        <w:t xml:space="preserve"/>
      </w:r>
    </w:p>
    <w:p>
      <w:pPr>
        <w:pStyle w:val="Heading2"/>
        <w:spacing w:after="100" w:before="240" w:line="320"/>
      </w:pPr>
      <w:r>
        <w:rPr>
          <w:rFonts w:ascii="Arial" w:cs="Arial" w:eastAsia="Arial" w:hAnsi="Arial"/>
          <w:b/>
          <w:bCs/>
          <w:color w:val="0A6B6B"/>
          <w:sz w:val="26"/>
          <w:szCs w:val="26"/>
        </w:rPr>
        <w:t xml:space="preserve">7.3 Identifikasi Stakeholder yang Terlibat</w:t>
      </w:r>
    </w:p>
    <w:p>
      <w:pPr>
        <w:spacing w:after="120" w:before="0" w:line="320"/>
        <w:jc w:val="both"/>
      </w:pPr>
      <w:r>
        <w:rPr>
          <w:rFonts w:ascii="Arial" w:cs="Arial" w:eastAsia="Arial" w:hAnsi="Arial"/>
          <w:sz w:val="22"/>
          <w:szCs w:val="22"/>
        </w:rPr>
        <w:t xml:space="preserve">Program melibatkan 5 pemangku kepentingan utama dengan peran berbeda dalam ekosistem program. Tabel berikut menyajikan peta stakeholder beserta dasar keterlibatannya.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38"/>
      </w:tblGrid>
      <w:tr>
        <w:tc>
          <w:tcPr>
            <w:tcW w:type="dxa" w:w="3200"/>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Stakeholder</w:t>
            </w:r>
          </w:p>
        </w:tc>
        <w:tc>
          <w:tcPr>
            <w:tcW w:type="dxa" w:w="1600"/>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Peran</w:t>
            </w:r>
          </w:p>
        </w:tc>
        <w:tc>
          <w:tcPr>
            <w:tcW w:type="dxa" w:w="4838"/>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Dasar Keterlibatan</w:t>
            </w:r>
          </w:p>
        </w:tc>
      </w:tr>
      <w:tr>
        <w:tc>
          <w:tcPr>
            <w:tcW w:type="dxa" w:w="3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PT Pertamina Lubricants</w:t>
            </w:r>
          </w:p>
        </w:tc>
        <w:tc>
          <w:tcPr>
            <w:tcW w:type="dxa" w:w="16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Investor</w:t>
            </w:r>
          </w:p>
        </w:tc>
        <w:tc>
          <w:tcPr>
            <w:tcW w:type="dxa" w:w="48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Pemrakarsa dan penyelenggara program TJSL</w:t>
            </w:r>
          </w:p>
        </w:tc>
      </w:tr>
      <w:tr>
        <w:tc>
          <w:tcPr>
            <w:tcW w:type="dxa" w:w="3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WBP aktif di Lapas</w:t>
            </w:r>
          </w:p>
        </w:tc>
        <w:tc>
          <w:tcPr>
            <w:tcW w:type="dxa" w:w="16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Beneficiary</w:t>
            </w:r>
          </w:p>
        </w:tc>
        <w:tc>
          <w:tcPr>
            <w:tcW w:type="dxa" w:w="48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Penerima pelatihan langsung</w:t>
            </w:r>
          </w:p>
        </w:tc>
      </w:tr>
      <w:tr>
        <w:tc>
          <w:tcPr>
            <w:tcW w:type="dxa" w:w="3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Eks-WBP (Milenial Motor)</w:t>
            </w:r>
          </w:p>
        </w:tc>
        <w:tc>
          <w:tcPr>
            <w:tcW w:type="dxa" w:w="16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Beneficiary</w:t>
            </w:r>
          </w:p>
        </w:tc>
        <w:tc>
          <w:tcPr>
            <w:tcW w:type="dxa" w:w="48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Penerima manfaat reintegrasi — usaha mandiri</w:t>
            </w:r>
          </w:p>
        </w:tc>
      </w:tr>
      <w:tr>
        <w:tc>
          <w:tcPr>
            <w:tcW w:type="dxa" w:w="3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Lembaga Pemasyarakatan</w:t>
            </w:r>
          </w:p>
        </w:tc>
        <w:tc>
          <w:tcPr>
            <w:tcW w:type="dxa" w:w="16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Partner</w:t>
            </w:r>
          </w:p>
        </w:tc>
        <w:tc>
          <w:tcPr>
            <w:tcW w:type="dxa" w:w="48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Penyelenggara ruang pelatihan</w:t>
            </w:r>
          </w:p>
        </w:tc>
      </w:tr>
      <w:tr>
        <w:tc>
          <w:tcPr>
            <w:tcW w:type="dxa" w:w="3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Pelanggan Bengkel</w:t>
            </w:r>
          </w:p>
        </w:tc>
        <w:tc>
          <w:tcPr>
            <w:tcW w:type="dxa" w:w="16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Beneficiary</w:t>
            </w:r>
          </w:p>
        </w:tc>
        <w:tc>
          <w:tcPr>
            <w:tcW w:type="dxa" w:w="48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Pengguna jasa servis dan pelumas</w:t>
            </w:r>
          </w:p>
        </w:tc>
      </w:tr>
    </w:tbl>
    <w:p>
      <w:pPr>
        <w:spacing w:after="80" w:before="0"/>
      </w:pPr>
      <w:r>
        <w:rPr>
          <w:rFonts w:ascii="Arial" w:cs="Arial" w:eastAsia="Arial" w:hAnsi="Arial"/>
          <w:sz w:val="22"/>
          <w:szCs w:val="22"/>
        </w:rPr>
        <w:t xml:space="preserve"/>
      </w:r>
    </w:p>
    <w:p>
      <w:pPr>
        <w:pStyle w:val="Heading2"/>
        <w:spacing w:after="100" w:before="240" w:line="320"/>
      </w:pPr>
      <w:r>
        <w:rPr>
          <w:rFonts w:ascii="Arial" w:cs="Arial" w:eastAsia="Arial" w:hAnsi="Arial"/>
          <w:b/>
          <w:bCs/>
          <w:color w:val="0A6B6B"/>
          <w:sz w:val="26"/>
          <w:szCs w:val="26"/>
        </w:rPr>
        <w:t xml:space="preserve">7.4 Input / Investasi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7E22" w:sz="8"/>
              <w:left w:val="single" w:color="E67E22" w:sz="12"/>
              <w:bottom w:val="single" w:color="E67E22" w:sz="8"/>
              <w:right w:val="single" w:color="E67E22" w:sz="8"/>
            </w:tcBorders>
            <w:shd w:fill="FDF5E8" w:val="clear"/>
            <w:tcMar>
              <w:top w:type="dxa" w:w="140"/>
              <w:left w:type="dxa" w:w="220"/>
              <w:bottom w:type="dxa" w:w="140"/>
              <w:right w:type="dxa" w:w="220"/>
            </w:tcMar>
          </w:tcPr>
          <w:p>
            <w:pPr>
              <w:spacing w:after="0" w:before="0"/>
              <w:jc w:val="both"/>
            </w:pPr>
            <w:r>
              <w:rPr>
                <w:rFonts w:ascii="Arial" w:cs="Arial" w:eastAsia="Arial" w:hAnsi="Arial"/>
                <w:color w:val="111111"/>
                <w:sz w:val="20"/>
                <w:szCs w:val="20"/>
              </w:rPr>
              <w:t xml:space="preserve">Catatan status data: investasi tahun 2023 dan 2024 berstatus under_confirmation — angka telah tersedia namun belum diverifikasi dari laporan keuangan resmi. Investasi tahun 2025 berstatus final.</w:t>
            </w:r>
          </w:p>
        </w:tc>
      </w:tr>
    </w:tbl>
    <w:p>
      <w:pPr>
        <w:spacing w:after="100" w:before="0"/>
      </w:pPr>
      <w:r>
        <w:rPr>
          <w:rFonts w:ascii="Arial" w:cs="Arial" w:eastAsia="Arial" w:hAnsi="Arial"/>
          <w:sz w:val="22"/>
          <w:szCs w:val="22"/>
        </w:rPr>
        <w:t xml:space="preserve"/>
      </w:r>
    </w:p>
    <w:p>
      <w:pPr>
        <w:spacing w:after="120" w:before="0" w:line="320"/>
        <w:jc w:val="both"/>
      </w:pPr>
      <w:r>
        <w:rPr>
          <w:rFonts w:ascii="Arial" w:cs="Arial" w:eastAsia="Arial" w:hAnsi="Arial"/>
          <w:sz w:val="22"/>
          <w:szCs w:val="22"/>
        </w:rPr>
        <w:t xml:space="preserve">Total investasi program selama 2023–2025 mencapai Rp 1,004,920,362, dengan distribusi yang meningkat setiap tahun seiring penguatan aktivitas. Rincian per node dan per tahun disajikan pada tabel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000"/>
        <w:gridCol w:w="2238"/>
      </w:tblGrid>
      <w:tr>
        <w:tc>
          <w:tcPr>
            <w:tcW w:type="dxa" w:w="32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Node Program</w:t>
            </w:r>
          </w:p>
        </w:tc>
        <w:tc>
          <w:tcPr>
            <w:tcW w:type="dxa" w:w="12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Tahun</w:t>
            </w:r>
          </w:p>
        </w:tc>
        <w:tc>
          <w:tcPr>
            <w:tcW w:type="dxa" w:w="30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Investasi (Rp)</w:t>
            </w:r>
          </w:p>
        </w:tc>
        <w:tc>
          <w:tcPr>
            <w:tcW w:type="dxa" w:w="2238"/>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Status</w:t>
            </w:r>
          </w:p>
        </w:tc>
      </w:tr>
      <w:tr>
        <w:tc>
          <w:tcPr>
            <w:tcW w:type="dxa" w:w="3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2023</w:t>
            </w:r>
          </w:p>
        </w:tc>
        <w:tc>
          <w:tcPr>
            <w:tcW w:type="dxa" w:w="30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128,108,409</w:t>
            </w:r>
          </w:p>
        </w:tc>
        <w:tc>
          <w:tcPr>
            <w:tcW w:type="dxa" w:w="22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under_confirmation</w:t>
            </w:r>
          </w:p>
        </w:tc>
      </w:tr>
      <w:tr>
        <w:tc>
          <w:tcPr>
            <w:tcW w:type="dxa" w:w="3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2024</w:t>
            </w:r>
          </w:p>
        </w:tc>
        <w:tc>
          <w:tcPr>
            <w:tcW w:type="dxa" w:w="30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179,351,772</w:t>
            </w:r>
          </w:p>
        </w:tc>
        <w:tc>
          <w:tcPr>
            <w:tcW w:type="dxa" w:w="22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under_confirmation</w:t>
            </w:r>
          </w:p>
        </w:tc>
      </w:tr>
      <w:tr>
        <w:tc>
          <w:tcPr>
            <w:tcW w:type="dxa" w:w="3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2025</w:t>
            </w:r>
          </w:p>
        </w:tc>
        <w:tc>
          <w:tcPr>
            <w:tcW w:type="dxa" w:w="30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195,000,000</w:t>
            </w:r>
          </w:p>
        </w:tc>
        <w:tc>
          <w:tcPr>
            <w:tcW w:type="dxa" w:w="22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under_confirmation</w:t>
            </w:r>
          </w:p>
        </w:tc>
      </w:tr>
      <w:tr>
        <w:tc>
          <w:tcPr>
            <w:tcW w:type="dxa" w:w="3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2023</w:t>
            </w:r>
          </w:p>
        </w:tc>
        <w:tc>
          <w:tcPr>
            <w:tcW w:type="dxa" w:w="30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128,108,409</w:t>
            </w:r>
          </w:p>
        </w:tc>
        <w:tc>
          <w:tcPr>
            <w:tcW w:type="dxa" w:w="22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under_confirmation</w:t>
            </w:r>
          </w:p>
        </w:tc>
      </w:tr>
      <w:tr>
        <w:tc>
          <w:tcPr>
            <w:tcW w:type="dxa" w:w="3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2024</w:t>
            </w:r>
          </w:p>
        </w:tc>
        <w:tc>
          <w:tcPr>
            <w:tcW w:type="dxa" w:w="30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179,351,772</w:t>
            </w:r>
          </w:p>
        </w:tc>
        <w:tc>
          <w:tcPr>
            <w:tcW w:type="dxa" w:w="22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under_confirmation</w:t>
            </w:r>
          </w:p>
        </w:tc>
      </w:tr>
      <w:tr>
        <w:tc>
          <w:tcPr>
            <w:tcW w:type="dxa" w:w="3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2025</w:t>
            </w:r>
          </w:p>
        </w:tc>
        <w:tc>
          <w:tcPr>
            <w:tcW w:type="dxa" w:w="30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195,000,000</w:t>
            </w:r>
          </w:p>
        </w:tc>
        <w:tc>
          <w:tcPr>
            <w:tcW w:type="dxa" w:w="22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under_confirmation</w:t>
            </w:r>
          </w:p>
        </w:tc>
      </w:tr>
      <w:tr>
        <w:tc>
          <w:tcPr>
            <w:tcW w:type="dxa" w:w="3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w:t>
            </w:r>
          </w:p>
        </w:tc>
        <w:tc>
          <w:tcPr>
            <w:tcW w:type="dxa" w:w="30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1,004,920,362</w:t>
            </w:r>
          </w:p>
        </w:tc>
        <w:tc>
          <w:tcPr>
            <w:tcW w:type="dxa" w:w="22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final</w:t>
            </w:r>
          </w:p>
        </w:tc>
      </w:tr>
    </w:tbl>
    <w:p>
      <w:pPr>
        <w:spacing w:after="120" w:before="60" w:line="320"/>
      </w:pPr>
      <w:r>
        <w:rPr>
          <w:rFonts w:ascii="Arial" w:cs="Arial" w:eastAsia="Arial" w:hAnsi="Arial"/>
          <w:i/>
          <w:iCs/>
          <w:color w:val="555555"/>
          <w:sz w:val="18"/>
          <w:szCs w:val="18"/>
        </w:rPr>
        <w:t xml:space="preserve">2023–2024 under_confirmation — ditampilkan dengan badge pending</w:t>
      </w:r>
    </w:p>
    <w:p>
      <w:pPr>
        <w:spacing w:after="8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none" w:color="FFFFFF" w:sz="0"/>
              <w:left w:val="none" w:color="FFFFFF" w:sz="0"/>
              <w:bottom w:val="none" w:color="FFFFFF" w:sz="0"/>
              <w:right w:val="none" w:color="FFFFFF" w:sz="0"/>
            </w:tcBorders>
            <w:shd w:fill="EAF5F5" w:val="clear"/>
            <w:tcMar>
              <w:top w:type="dxa" w:w="160"/>
              <w:left w:type="dxa" w:w="180"/>
              <w:bottom w:type="dxa" w:w="160"/>
              <w:right w:type="dxa" w:w="180"/>
            </w:tcMar>
          </w:tcPr>
          <w:p>
            <w:pPr>
              <w:spacing w:after="40" w:before="0"/>
            </w:pPr>
            <w:r>
              <w:rPr>
                <w:rFonts w:ascii="Arial" w:cs="Arial" w:eastAsia="Arial" w:hAnsi="Arial"/>
                <w:color w:val="0A6B6B"/>
                <w:sz w:val="18"/>
                <w:szCs w:val="18"/>
              </w:rPr>
              <w:t xml:space="preserve">Investasi 2023</w:t>
            </w:r>
          </w:p>
          <w:p>
            <w:pPr>
              <w:spacing w:after="40" w:before="0"/>
            </w:pPr>
            <w:r>
              <w:rPr>
                <w:rFonts w:ascii="Arial" w:cs="Arial" w:eastAsia="Arial" w:hAnsi="Arial"/>
                <w:b/>
                <w:bCs/>
                <w:color w:val="0D2B2B"/>
                <w:sz w:val="32"/>
                <w:szCs w:val="32"/>
              </w:rPr>
              <w:t xml:space="preserve">Rp 256,216,818</w:t>
            </w:r>
          </w:p>
          <w:p>
            <w:pPr>
              <w:spacing w:after="0" w:before="0"/>
            </w:pPr>
            <w:r>
              <w:rPr>
                <w:rFonts w:ascii="Arial" w:cs="Arial" w:eastAsia="Arial" w:hAnsi="Arial"/>
                <w:i/>
                <w:iCs/>
                <w:color w:val="555555"/>
                <w:sz w:val="18"/>
                <w:szCs w:val="18"/>
              </w:rPr>
              <w:t xml:space="preserve">under confirmation</w:t>
            </w:r>
          </w:p>
        </w:tc>
        <w:tc>
          <w:tcPr>
            <w:tcW w:type="dxa" w:w="3212"/>
            <w:tcBorders>
              <w:top w:val="none" w:color="FFFFFF" w:sz="0"/>
              <w:left w:val="none" w:color="FFFFFF" w:sz="0"/>
              <w:bottom w:val="none" w:color="FFFFFF" w:sz="0"/>
              <w:right w:val="none" w:color="FFFFFF" w:sz="0"/>
            </w:tcBorders>
            <w:shd w:fill="EEF4FA" w:val="clear"/>
            <w:tcMar>
              <w:top w:type="dxa" w:w="160"/>
              <w:left w:type="dxa" w:w="180"/>
              <w:bottom w:type="dxa" w:w="160"/>
              <w:right w:type="dxa" w:w="180"/>
            </w:tcMar>
          </w:tcPr>
          <w:p>
            <w:pPr>
              <w:spacing w:after="40" w:before="0"/>
            </w:pPr>
            <w:r>
              <w:rPr>
                <w:rFonts w:ascii="Arial" w:cs="Arial" w:eastAsia="Arial" w:hAnsi="Arial"/>
                <w:color w:val="0A6B6B"/>
                <w:sz w:val="18"/>
                <w:szCs w:val="18"/>
              </w:rPr>
              <w:t xml:space="preserve">Investasi 2024</w:t>
            </w:r>
          </w:p>
          <w:p>
            <w:pPr>
              <w:spacing w:after="40" w:before="0"/>
            </w:pPr>
            <w:r>
              <w:rPr>
                <w:rFonts w:ascii="Arial" w:cs="Arial" w:eastAsia="Arial" w:hAnsi="Arial"/>
                <w:b/>
                <w:bCs/>
                <w:color w:val="0D2B2B"/>
                <w:sz w:val="32"/>
                <w:szCs w:val="32"/>
              </w:rPr>
              <w:t xml:space="preserve">Rp 358,703,544</w:t>
            </w:r>
          </w:p>
          <w:p>
            <w:pPr>
              <w:spacing w:after="0" w:before="0"/>
            </w:pPr>
            <w:r>
              <w:rPr>
                <w:rFonts w:ascii="Arial" w:cs="Arial" w:eastAsia="Arial" w:hAnsi="Arial"/>
                <w:i/>
                <w:iCs/>
                <w:color w:val="555555"/>
                <w:sz w:val="18"/>
                <w:szCs w:val="18"/>
              </w:rPr>
              <w:t xml:space="preserve">under confirmation</w:t>
            </w:r>
          </w:p>
        </w:tc>
        <w:tc>
          <w:tcPr>
            <w:tcW w:type="dxa" w:w="3214"/>
            <w:tcBorders>
              <w:top w:val="none" w:color="FFFFFF" w:sz="0"/>
              <w:left w:val="none" w:color="FFFFFF" w:sz="0"/>
              <w:bottom w:val="none" w:color="FFFFFF" w:sz="0"/>
              <w:right w:val="none" w:color="FFFFFF" w:sz="0"/>
            </w:tcBorders>
            <w:shd w:fill="EAF5F5" w:val="clear"/>
            <w:tcMar>
              <w:top w:type="dxa" w:w="160"/>
              <w:left w:type="dxa" w:w="180"/>
              <w:bottom w:type="dxa" w:w="160"/>
              <w:right w:type="dxa" w:w="180"/>
            </w:tcMar>
          </w:tcPr>
          <w:p>
            <w:pPr>
              <w:spacing w:after="40" w:before="0"/>
            </w:pPr>
            <w:r>
              <w:rPr>
                <w:rFonts w:ascii="Arial" w:cs="Arial" w:eastAsia="Arial" w:hAnsi="Arial"/>
                <w:color w:val="0A6B6B"/>
                <w:sz w:val="18"/>
                <w:szCs w:val="18"/>
              </w:rPr>
              <w:t xml:space="preserve">Investasi 2025</w:t>
            </w:r>
          </w:p>
          <w:p>
            <w:pPr>
              <w:spacing w:after="40" w:before="0"/>
            </w:pPr>
            <w:r>
              <w:rPr>
                <w:rFonts w:ascii="Arial" w:cs="Arial" w:eastAsia="Arial" w:hAnsi="Arial"/>
                <w:b/>
                <w:bCs/>
                <w:color w:val="0D2B2B"/>
                <w:sz w:val="32"/>
                <w:szCs w:val="32"/>
              </w:rPr>
              <w:t xml:space="preserve">Rp 390,000,000</w:t>
            </w:r>
          </w:p>
          <w:p>
            <w:pPr>
              <w:spacing w:after="0" w:before="0"/>
            </w:pPr>
            <w:r>
              <w:rPr>
                <w:rFonts w:ascii="Arial" w:cs="Arial" w:eastAsia="Arial" w:hAnsi="Arial"/>
                <w:i/>
                <w:iCs/>
                <w:color w:val="555555"/>
                <w:sz w:val="18"/>
                <w:szCs w:val="18"/>
              </w:rPr>
              <w:t xml:space="preserve">final</w:t>
            </w:r>
          </w:p>
        </w:tc>
      </w:tr>
    </w:tbl>
    <w:p>
      <w:pPr>
        <w:spacing w:after="100" w:before="0"/>
      </w:pPr>
      <w:r>
        <w:rPr>
          <w:rFonts w:ascii="Arial" w:cs="Arial" w:eastAsia="Arial" w:hAnsi="Arial"/>
          <w:sz w:val="22"/>
          <w:szCs w:val="22"/>
        </w:rPr>
        <w:t xml:space="preserve"/>
      </w:r>
    </w:p>
    <w:p>
      <w:pPr>
        <w:pStyle w:val="Heading2"/>
        <w:spacing w:after="100" w:before="240" w:line="320"/>
      </w:pPr>
      <w:r>
        <w:rPr>
          <w:rFonts w:ascii="Arial" w:cs="Arial" w:eastAsia="Arial" w:hAnsi="Arial"/>
          <w:b/>
          <w:bCs/>
          <w:color w:val="0A6B6B"/>
          <w:sz w:val="26"/>
          <w:szCs w:val="26"/>
        </w:rPr>
        <w:t xml:space="preserve">7.5 Proses dan Output yang Dihasilkan</w:t>
      </w:r>
    </w:p>
    <w:p>
      <w:pPr>
        <w:spacing w:after="120" w:before="0" w:line="320"/>
        <w:jc w:val="both"/>
      </w:pPr>
      <w:r>
        <w:rPr>
          <w:rFonts w:ascii="Arial" w:cs="Arial" w:eastAsia="Arial" w:hAnsi="Arial"/>
          <w:sz w:val="22"/>
          <w:szCs w:val="22"/>
        </w:rPr>
        <w:t xml:space="preserve">Program menghasilkan 6 output terukur sepanjang periode evaluasi, mencakup node yang aktif beroperasi dan estimasi peserta yang terlibat dalam pelatihan dan pendampingan.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1200"/>
        <w:gridCol w:w="3238"/>
      </w:tblGrid>
      <w:tr>
        <w:tc>
          <w:tcPr>
            <w:tcW w:type="dxa" w:w="3000"/>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Output</w:t>
            </w:r>
          </w:p>
        </w:tc>
        <w:tc>
          <w:tcPr>
            <w:tcW w:type="dxa" w:w="1000"/>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Tahun</w:t>
            </w:r>
          </w:p>
        </w:tc>
        <w:tc>
          <w:tcPr>
            <w:tcW w:type="dxa" w:w="1200"/>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Jumlah</w:t>
            </w:r>
          </w:p>
        </w:tc>
        <w:tc>
          <w:tcPr>
            <w:tcW w:type="dxa" w:w="1200"/>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Satuan</w:t>
            </w:r>
          </w:p>
        </w:tc>
        <w:tc>
          <w:tcPr>
            <w:tcW w:type="dxa" w:w="3238"/>
            <w:tcBorders>
              <w:top w:val="none" w:color="FFFFFF" w:sz="0"/>
              <w:left w:val="none" w:color="FFFFFF" w:sz="0"/>
              <w:bottom w:val="single" w:color="0A6B6B" w:sz="8"/>
              <w:right w:val="none" w:color="FFFFFF" w:sz="0"/>
            </w:tcBorders>
            <w:tcMar>
              <w:top w:type="dxa" w:w="80"/>
              <w:left w:type="dxa" w:w="0"/>
              <w:bottom w:type="dxa" w:w="80"/>
              <w:right w:type="dxa" w:w="100"/>
            </w:tcMar>
          </w:tcPr>
          <w:p>
            <w:pPr>
              <w:spacing w:after="0" w:before="0"/>
            </w:pPr>
            <w:r>
              <w:rPr>
                <w:rFonts w:ascii="Arial" w:cs="Arial" w:eastAsia="Arial" w:hAnsi="Arial"/>
                <w:b/>
                <w:bCs/>
                <w:color w:val="0A6B6B"/>
                <w:sz w:val="18"/>
                <w:szCs w:val="18"/>
              </w:rPr>
              <w:t xml:space="preserve">Status</w:t>
            </w:r>
          </w:p>
        </w:tc>
      </w:tr>
      <w:tr>
        <w:tc>
          <w:tcPr>
            <w:tcW w:type="dxa" w:w="3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Node aktif bertransaksi</w:t>
            </w:r>
          </w:p>
        </w:tc>
        <w:tc>
          <w:tcPr>
            <w:tcW w:type="dxa" w:w="1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2023</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3</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node</w:t>
            </w:r>
          </w:p>
        </w:tc>
        <w:tc>
          <w:tcPr>
            <w:tcW w:type="dxa" w:w="32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observed</w:t>
            </w:r>
          </w:p>
        </w:tc>
      </w:tr>
      <w:tr>
        <w:tc>
          <w:tcPr>
            <w:tcW w:type="dxa" w:w="3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Node aktif bertransaksi</w:t>
            </w:r>
          </w:p>
        </w:tc>
        <w:tc>
          <w:tcPr>
            <w:tcW w:type="dxa" w:w="1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2024</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3</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node</w:t>
            </w:r>
          </w:p>
        </w:tc>
        <w:tc>
          <w:tcPr>
            <w:tcW w:type="dxa" w:w="32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observed</w:t>
            </w:r>
          </w:p>
        </w:tc>
      </w:tr>
      <w:tr>
        <w:tc>
          <w:tcPr>
            <w:tcW w:type="dxa" w:w="3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Node aktif bertransaksi</w:t>
            </w:r>
          </w:p>
        </w:tc>
        <w:tc>
          <w:tcPr>
            <w:tcW w:type="dxa" w:w="1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2025</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3</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node</w:t>
            </w:r>
          </w:p>
        </w:tc>
        <w:tc>
          <w:tcPr>
            <w:tcW w:type="dxa" w:w="32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observed</w:t>
            </w:r>
          </w:p>
        </w:tc>
      </w:tr>
      <w:tr>
        <w:tc>
          <w:tcPr>
            <w:tcW w:type="dxa" w:w="3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Peserta program (estimasi)</w:t>
            </w:r>
          </w:p>
        </w:tc>
        <w:tc>
          <w:tcPr>
            <w:tcW w:type="dxa" w:w="1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2023</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70</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peserta</w:t>
            </w:r>
          </w:p>
        </w:tc>
        <w:tc>
          <w:tcPr>
            <w:tcW w:type="dxa" w:w="32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proxy</w:t>
            </w:r>
          </w:p>
        </w:tc>
      </w:tr>
      <w:tr>
        <w:tc>
          <w:tcPr>
            <w:tcW w:type="dxa" w:w="3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Peserta program (estimasi)</w:t>
            </w:r>
          </w:p>
        </w:tc>
        <w:tc>
          <w:tcPr>
            <w:tcW w:type="dxa" w:w="1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2024</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70</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peserta</w:t>
            </w:r>
          </w:p>
        </w:tc>
        <w:tc>
          <w:tcPr>
            <w:tcW w:type="dxa" w:w="32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proxy</w:t>
            </w:r>
          </w:p>
        </w:tc>
      </w:tr>
      <w:tr>
        <w:tc>
          <w:tcPr>
            <w:tcW w:type="dxa" w:w="3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bCs/>
                <w:sz w:val="20"/>
                <w:szCs w:val="20"/>
              </w:rPr>
              <w:t xml:space="preserve">Peserta program (estimasi)</w:t>
            </w:r>
          </w:p>
        </w:tc>
        <w:tc>
          <w:tcPr>
            <w:tcW w:type="dxa" w:w="10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2025</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80</w:t>
            </w:r>
          </w:p>
        </w:tc>
        <w:tc>
          <w:tcPr>
            <w:tcW w:type="dxa" w:w="1200"/>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peserta</w:t>
            </w:r>
          </w:p>
        </w:tc>
        <w:tc>
          <w:tcPr>
            <w:tcW w:type="dxa" w:w="3238"/>
            <w:tcBorders>
              <w:top w:val="none" w:color="FFFFFF" w:sz="0"/>
              <w:left w:val="none" w:color="FFFFFF" w:sz="0"/>
              <w:bottom w:val="single" w:color="CCCCCC" w:sz="2"/>
              <w:right w:val="none" w:color="FFFFFF" w:sz="0"/>
            </w:tcBorders>
            <w:tcMar>
              <w:top w:type="dxa" w:w="80"/>
              <w:left w:type="dxa" w:w="0"/>
              <w:bottom w:type="dxa" w:w="80"/>
              <w:right w:type="dxa" w:w="100"/>
            </w:tcMar>
          </w:tcPr>
          <w:p>
            <w:pPr>
              <w:spacing w:after="0" w:before="0"/>
            </w:pPr>
            <w:r>
              <w:rPr>
                <w:rFonts w:ascii="Arial" w:cs="Arial" w:eastAsia="Arial" w:hAnsi="Arial"/>
                <w:b w:val="false"/>
                <w:bCs w:val="false"/>
                <w:sz w:val="20"/>
                <w:szCs w:val="20"/>
              </w:rPr>
              <w:t xml:space="preserve">proxy</w:t>
            </w:r>
          </w:p>
        </w:tc>
      </w:tr>
    </w:tbl>
    <w:p>
      <w:pPr>
        <w:spacing w:after="80" w:before="0"/>
      </w:pPr>
      <w:r>
        <w:rPr>
          <w:rFonts w:ascii="Arial" w:cs="Arial" w:eastAsia="Arial" w:hAnsi="Arial"/>
          <w:sz w:val="22"/>
          <w:szCs w:val="22"/>
        </w:rPr>
        <w:t xml:space="preserve"/>
      </w:r>
    </w:p>
    <w:p>
      <w:pPr>
        <w:pStyle w:val="Heading2"/>
        <w:spacing w:after="100" w:before="240" w:line="320"/>
      </w:pPr>
      <w:r>
        <w:rPr>
          <w:rFonts w:ascii="Arial" w:cs="Arial" w:eastAsia="Arial" w:hAnsi="Arial"/>
          <w:b/>
          <w:bCs/>
          <w:color w:val="0A6B6B"/>
          <w:sz w:val="26"/>
          <w:szCs w:val="26"/>
        </w:rPr>
        <w:t xml:space="preserve">7.6 Outcome Program</w:t>
      </w:r>
    </w:p>
    <w:p>
      <w:pPr>
        <w:spacing w:after="120" w:before="0" w:line="320"/>
        <w:jc w:val="both"/>
      </w:pPr>
      <w:r>
        <w:rPr>
          <w:rFonts w:ascii="Arial" w:cs="Arial" w:eastAsia="Arial" w:hAnsi="Arial"/>
          <w:sz w:val="22"/>
          <w:szCs w:val="22"/>
        </w:rPr>
        <w:t xml:space="preserve">Program menghasilkan 4 outcome yang dimonetisasi melalui dua jalur: data transaksi aktual (observed) untuk aspek yang sudah menghasilkan nilai ekonomi langsung, dan proxy tervalidasi untuk aspek yang mengukur nilai sosial yang lebih sulit diverifikasi secara langsung.</w:t>
      </w:r>
    </w:p>
    <w:p>
      <w:pPr>
        <w:spacing w:after="120" w:before="0" w:line="320"/>
        <w:jc w:val="both"/>
      </w:pPr>
      <w:r>
        <w:rPr>
          <w:rFonts w:ascii="Arial" w:cs="Arial" w:eastAsia="Arial" w:hAnsi="Arial"/>
          <w:sz w:val="22"/>
          <w:szCs w:val="22"/>
        </w:rPr>
        <w:t xml:space="preserve">✓ Observed — Penjualan Pelumas (LUB): Transaksi penjualan produk pelumas Enduro dari node aktif (Indikator: Volume penjualan pelumas (Rp))</w:t>
      </w:r>
    </w:p>
    <w:p>
      <w:pPr>
        <w:spacing w:after="120" w:before="0" w:line="320"/>
        <w:jc w:val="both"/>
      </w:pPr>
      <w:r>
        <w:rPr>
          <w:rFonts w:ascii="Arial" w:cs="Arial" w:eastAsia="Arial" w:hAnsi="Arial"/>
          <w:sz w:val="22"/>
          <w:szCs w:val="22"/>
        </w:rPr>
        <w:t xml:space="preserve">✓ Observed — Jasa &amp; Sparepart (SVC): Transaksi jasa servis dan penjualan sparepart dari node aktif (Indikator: Volume transaksi jasa (Rp))</w:t>
      </w:r>
    </w:p>
    <w:p>
      <w:pPr>
        <w:spacing w:after="120" w:before="0" w:line="320"/>
        <w:jc w:val="both"/>
      </w:pPr>
      <w:r>
        <w:rPr>
          <w:rFonts w:ascii="Arial" w:cs="Arial" w:eastAsia="Arial" w:hAnsi="Arial"/>
          <w:sz w:val="22"/>
          <w:szCs w:val="22"/>
        </w:rPr>
        <w:t xml:space="preserve">~ Proxy — Kesiapan Reintegrasi Sosial-Ekonomi (REINT): Peningkatan kesiapan peserta untuk bekerja legal dan berwirausaha pasca-bebas (Indikator: Nilai substitusi paket peningkatan kesiapan kerja/usaha)</w:t>
      </w:r>
    </w:p>
    <w:p>
      <w:pPr>
        <w:spacing w:after="120" w:before="0" w:line="320"/>
        <w:jc w:val="both"/>
      </w:pPr>
      <w:r>
        <w:rPr>
          <w:rFonts w:ascii="Arial" w:cs="Arial" w:eastAsia="Arial" w:hAnsi="Arial"/>
          <w:sz w:val="22"/>
          <w:szCs w:val="22"/>
        </w:rPr>
        <w:t xml:space="preserve">~ Proxy — Kepercayaan Diri &amp; Self-Efficacy (CONF): Peningkatan kepercayaan diri, efikasi diri, dan orientasi masa depan peserta (Indikator: Replacement cost layanan psikologi publik)</w:t>
      </w:r>
    </w:p>
    <w:p>
      <w:pPr>
        <w:pStyle w:val="Heading2"/>
        <w:spacing w:after="100" w:before="240" w:line="320"/>
      </w:pPr>
      <w:r>
        <w:rPr>
          <w:rFonts w:ascii="Arial" w:cs="Arial" w:eastAsia="Arial" w:hAnsi="Arial"/>
          <w:b/>
          <w:bCs/>
          <w:color w:val="0A6B6B"/>
          <w:sz w:val="26"/>
          <w:szCs w:val="26"/>
        </w:rPr>
        <w:t xml:space="preserve">7.7 Fiksasi Dampak (DDAT Adjustment)</w:t>
      </w:r>
    </w:p>
    <w:p>
      <w:pPr>
        <w:spacing w:after="120" w:before="0" w:line="320"/>
        <w:jc w:val="both"/>
      </w:pPr>
      <w:r>
        <w:rPr>
          <w:rFonts w:ascii="Arial" w:cs="Arial" w:eastAsia="Arial" w:hAnsi="Arial"/>
          <w:sz w:val="22"/>
          <w:szCs w:val="22"/>
        </w:rPr>
        <w:t xml:space="preserve">Fiksasi dampak diterapkan untuk memastikan bahwa nilai sosial yang diklaim benar-benar mencerminkan kontribusi program secara nyata, dengan menghindari perhitungan manfaat ganda. Empat parameter yang digunakan: Deadweight (DW), Displacement (DS), Attribution (AT), dan Drop-off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100"/>
        <w:gridCol w:w="2938"/>
      </w:tblGrid>
      <w:tr>
        <w:tc>
          <w:tcPr>
            <w:tcW w:type="dxa" w:w="12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Aspek</w:t>
            </w:r>
          </w:p>
        </w:tc>
        <w:tc>
          <w:tcPr>
            <w:tcW w:type="dxa" w:w="11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DW</w:t>
            </w:r>
          </w:p>
        </w:tc>
        <w:tc>
          <w:tcPr>
            <w:tcW w:type="dxa" w:w="11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DS</w:t>
            </w:r>
          </w:p>
        </w:tc>
        <w:tc>
          <w:tcPr>
            <w:tcW w:type="dxa" w:w="11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AT</w:t>
            </w:r>
          </w:p>
        </w:tc>
        <w:tc>
          <w:tcPr>
            <w:tcW w:type="dxa" w:w="11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DO</w:t>
            </w:r>
          </w:p>
        </w:tc>
        <w:tc>
          <w:tcPr>
            <w:tcW w:type="dxa" w:w="11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Net ×</w:t>
            </w:r>
          </w:p>
        </w:tc>
        <w:tc>
          <w:tcPr>
            <w:tcW w:type="dxa" w:w="2938"/>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Haircut</w:t>
            </w:r>
          </w:p>
        </w:tc>
      </w:tr>
      <w:tr>
        <w:tc>
          <w:tcPr>
            <w:tcW w:type="dxa" w:w="12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CONF</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9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50%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REINT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9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50%</w:t>
            </w:r>
          </w:p>
        </w:tc>
      </w:tr>
      <w:tr>
        <w:tc>
          <w:tcPr>
            <w:tcW w:type="dxa" w:w="12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LUB</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9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50%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SVC</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9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50%</w:t>
            </w:r>
          </w:p>
        </w:tc>
      </w:tr>
    </w:tbl>
    <w:p>
      <w:pPr>
        <w:spacing w:after="120" w:before="60" w:line="320"/>
      </w:pPr>
      <w:r>
        <w:rPr>
          <w:rFonts w:ascii="Arial" w:cs="Arial" w:eastAsia="Arial" w:hAnsi="Arial"/>
          <w:i/>
          <w:iCs/>
          <w:color w:val="555555"/>
          <w:sz w:val="18"/>
          <w:szCs w:val="18"/>
        </w:rPr>
        <w:t xml:space="preserve">DW=Deadweight DS=Displacement AT=Attribution DO=Drop-off</w:t>
      </w:r>
    </w:p>
    <w:p>
      <w:pPr>
        <w:spacing w:after="80" w:before="0"/>
      </w:pPr>
      <w:r>
        <w:rPr>
          <w:rFonts w:ascii="Arial" w:cs="Arial" w:eastAsia="Arial" w:hAnsi="Arial"/>
          <w:sz w:val="22"/>
          <w:szCs w:val="22"/>
        </w:rPr>
        <w:t xml:space="preserve"/>
      </w:r>
    </w:p>
    <w:p>
      <w:pPr>
        <w:spacing w:after="80" w:before="0" w:line="320"/>
        <w:jc w:val="both"/>
      </w:pPr>
      <w:r>
        <w:rPr>
          <w:rFonts w:ascii="Arial" w:cs="Arial" w:eastAsia="Arial" w:hAnsi="Arial"/>
          <w:i/>
          <w:iCs/>
          <w:color w:val="555555"/>
          <w:sz w:val="18"/>
          <w:szCs w:val="18"/>
        </w:rPr>
        <w:t xml:space="preserve">Rata-rata fiksasi dampak keseluruhan: −50.0%. Haircut tertinggi pada CONF (50%) mengakui bahwa perubahan self-efficacy sulit diatribusikan sepenuhnya ke program.</w:t>
      </w:r>
    </w:p>
    <w:p>
      <w:pPr>
        <w:pBdr>
          <w:bottom w:val="single" w:color="CCCCCC" w:sz="4" w:space="4"/>
        </w:pBdr>
        <w:spacing w:after="80" w:before="0"/>
      </w:pPr>
      <w:r>
        <w:rPr>
          <w:rFonts w:ascii="Arial" w:cs="Arial" w:eastAsia="Arial" w:hAnsi="Arial"/>
          <w:sz w:val="22"/>
          <w:szCs w:val="22"/>
        </w:rPr>
        <w:t xml:space="preserve"/>
      </w:r>
    </w:p>
    <w:p>
      <w:pPr>
        <w:pStyle w:val="Heading2"/>
        <w:spacing w:after="100" w:before="240" w:line="320"/>
      </w:pPr>
      <w:r>
        <w:rPr>
          <w:rFonts w:ascii="Arial" w:cs="Arial" w:eastAsia="Arial" w:hAnsi="Arial"/>
          <w:b/>
          <w:bCs/>
          <w:color w:val="0A6B6B"/>
          <w:sz w:val="26"/>
          <w:szCs w:val="26"/>
        </w:rPr>
        <w:t xml:space="preserve">7.8 Monetisasi Dampak</w:t>
      </w:r>
    </w:p>
    <w:p>
      <w:pPr>
        <w:spacing w:after="160" w:before="0" w:line="340"/>
        <w:jc w:val="both"/>
      </w:pPr>
      <w:r>
        <w:rPr>
          <w:rFonts w:ascii="Arial" w:cs="Arial" w:eastAsia="Arial" w:hAnsi="Arial"/>
          <w:color w:val="111111"/>
          <w:sz w:val="26"/>
          <w:szCs w:val="26"/>
        </w:rPr>
        <w:t xml:space="preserve">Monetisasi nilai sosial dilakukan melalui empat aspek yang mencerminkan dua lapisan manfaat program: nilai ekonomi langsung dari transaksi riil dan nilai sosial yang diestimasi melalui proxy yang tervalidasi secara akademik dan kebijakan.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A6B6B" w:sz="8"/>
              <w:left w:val="single" w:color="0A6B6B" w:sz="12"/>
              <w:bottom w:val="single" w:color="0A6B6B" w:sz="8"/>
              <w:right w:val="single" w:color="0A6B6B" w:sz="8"/>
            </w:tcBorders>
            <w:shd w:fill="EEF4FA" w:val="clear"/>
            <w:tcMar>
              <w:top w:type="dxa" w:w="140"/>
              <w:left w:type="dxa" w:w="220"/>
              <w:bottom w:type="dxa" w:w="140"/>
              <w:right w:type="dxa" w:w="220"/>
            </w:tcMar>
          </w:tcPr>
          <w:p>
            <w:pPr>
              <w:spacing w:after="0" w:before="0"/>
              <w:jc w:val="both"/>
            </w:pPr>
            <w:r>
              <w:rPr>
                <w:rFonts w:ascii="Arial" w:cs="Arial" w:eastAsia="Arial" w:hAnsi="Arial"/>
                <w:color w:val="111111"/>
                <w:sz w:val="20"/>
                <w:szCs w:val="20"/>
              </w:rPr>
              <w:t xml:space="preserve">Aspek LUB dan SVC dimonetisasi berdasarkan data transaksi aktual (observed) dari tiga node aktif. Aspek REINT dan CONF dimonetisasi menggunakan proxy konservatif yang defensible: REINT mengacu komponen pelatihan Kartu Prakerja (Rp3.500.000/peserta) dan CONF mengacu tarif psikologi publik (6 sesi × Rp50.000 = Rp300.000/peserta).</w:t>
            </w:r>
          </w:p>
        </w:tc>
      </w:tr>
    </w:tbl>
    <w:p>
      <w:pPr>
        <w:spacing w:after="10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100"/>
        <w:gridCol w:w="900"/>
        <w:gridCol w:w="2100"/>
        <w:gridCol w:w="2838"/>
      </w:tblGrid>
      <w:tr>
        <w:tc>
          <w:tcPr>
            <w:tcW w:type="dxa" w:w="9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Aspek</w:t>
            </w:r>
          </w:p>
        </w:tc>
        <w:tc>
          <w:tcPr>
            <w:tcW w:type="dxa" w:w="8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Tahun</w:t>
            </w:r>
          </w:p>
        </w:tc>
        <w:tc>
          <w:tcPr>
            <w:tcW w:type="dxa" w:w="21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Gross (Rp)</w:t>
            </w:r>
          </w:p>
        </w:tc>
        <w:tc>
          <w:tcPr>
            <w:tcW w:type="dxa" w:w="9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Adj DDAT</w:t>
            </w:r>
          </w:p>
        </w:tc>
        <w:tc>
          <w:tcPr>
            <w:tcW w:type="dxa" w:w="21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Net (Rp)</w:t>
            </w:r>
          </w:p>
        </w:tc>
        <w:tc>
          <w:tcPr>
            <w:tcW w:type="dxa" w:w="2838"/>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Status</w:t>
            </w:r>
          </w:p>
        </w:tc>
      </w:tr>
      <w:tr>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CONF</w:t>
            </w:r>
          </w:p>
        </w:tc>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2023</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21,000,000</w:t>
            </w:r>
          </w:p>
        </w:tc>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10,500,000</w:t>
            </w:r>
          </w:p>
        </w:tc>
        <w:tc>
          <w:tcPr>
            <w:tcW w:type="dxa" w:w="28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proxy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CONF</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21,000,000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10,500,000</w:t>
            </w:r>
          </w:p>
        </w:tc>
        <w:tc>
          <w:tcPr>
            <w:tcW w:type="dxa" w:w="28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proxy</w:t>
            </w:r>
          </w:p>
        </w:tc>
      </w:tr>
      <w:tr>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CONF</w:t>
            </w:r>
          </w:p>
        </w:tc>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24,000,000</w:t>
            </w:r>
          </w:p>
        </w:tc>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12,000,000</w:t>
            </w:r>
          </w:p>
        </w:tc>
        <w:tc>
          <w:tcPr>
            <w:tcW w:type="dxa" w:w="28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proxy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LUB</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20,680,000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10,340,000</w:t>
            </w:r>
          </w:p>
        </w:tc>
        <w:tc>
          <w:tcPr>
            <w:tcW w:type="dxa" w:w="28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final</w:t>
            </w:r>
          </w:p>
        </w:tc>
      </w:tr>
      <w:tr>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LUB</w:t>
            </w:r>
          </w:p>
        </w:tc>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2024</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28,950,000</w:t>
            </w:r>
          </w:p>
        </w:tc>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14,475,000</w:t>
            </w:r>
          </w:p>
        </w:tc>
        <w:tc>
          <w:tcPr>
            <w:tcW w:type="dxa" w:w="28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final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LUB</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40,520,000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20,260,000</w:t>
            </w:r>
          </w:p>
        </w:tc>
        <w:tc>
          <w:tcPr>
            <w:tcW w:type="dxa" w:w="28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final</w:t>
            </w:r>
          </w:p>
        </w:tc>
      </w:tr>
      <w:tr>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REINT</w:t>
            </w:r>
          </w:p>
        </w:tc>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2023</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245,000,000</w:t>
            </w:r>
          </w:p>
        </w:tc>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122,500,000</w:t>
            </w:r>
          </w:p>
        </w:tc>
        <w:tc>
          <w:tcPr>
            <w:tcW w:type="dxa" w:w="28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proxy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REINT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245,000,000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122,500,000</w:t>
            </w:r>
          </w:p>
        </w:tc>
        <w:tc>
          <w:tcPr>
            <w:tcW w:type="dxa" w:w="28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proxy</w:t>
            </w:r>
          </w:p>
        </w:tc>
      </w:tr>
      <w:tr>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REINT</w:t>
            </w:r>
          </w:p>
        </w:tc>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280,000,000</w:t>
            </w:r>
          </w:p>
        </w:tc>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140,000,000</w:t>
            </w:r>
          </w:p>
        </w:tc>
        <w:tc>
          <w:tcPr>
            <w:tcW w:type="dxa" w:w="28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proxy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SVC</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12,850,000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6,425,000</w:t>
            </w:r>
          </w:p>
        </w:tc>
        <w:tc>
          <w:tcPr>
            <w:tcW w:type="dxa" w:w="28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final</w:t>
            </w:r>
          </w:p>
        </w:tc>
      </w:tr>
      <w:tr>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SVC</w:t>
            </w:r>
          </w:p>
        </w:tc>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2024</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18,000,000</w:t>
            </w:r>
          </w:p>
        </w:tc>
        <w:tc>
          <w:tcPr>
            <w:tcW w:type="dxa" w:w="9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9,000,000</w:t>
            </w:r>
          </w:p>
        </w:tc>
        <w:tc>
          <w:tcPr>
            <w:tcW w:type="dxa" w:w="28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final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SVC</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2025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25,190,000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×0.5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12,595,000</w:t>
            </w:r>
          </w:p>
        </w:tc>
        <w:tc>
          <w:tcPr>
            <w:tcW w:type="dxa" w:w="28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final</w:t>
            </w:r>
          </w:p>
        </w:tc>
      </w:tr>
      <w:tr>
        <w:tc>
          <w:tcPr>
            <w:tcW w:type="dxa" w:w="9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8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w:t>
            </w:r>
          </w:p>
        </w:tc>
        <w:tc>
          <w:tcPr>
            <w:tcW w:type="dxa" w:w="21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982,190,000</w:t>
            </w:r>
          </w:p>
        </w:tc>
        <w:tc>
          <w:tcPr>
            <w:tcW w:type="dxa" w:w="9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w:t>
            </w:r>
          </w:p>
        </w:tc>
        <w:tc>
          <w:tcPr>
            <w:tcW w:type="dxa" w:w="21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491,095,000</w:t>
            </w:r>
          </w:p>
        </w:tc>
        <w:tc>
          <w:tcPr>
            <w:tcW w:type="dxa" w:w="28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w:t>
            </w:r>
          </w:p>
        </w:tc>
      </w:tr>
    </w:tbl>
    <w:p>
      <w:pPr>
        <w:spacing w:after="120" w:before="60" w:line="320"/>
      </w:pPr>
      <w:r>
        <w:rPr>
          <w:rFonts w:ascii="Arial" w:cs="Arial" w:eastAsia="Arial" w:hAnsi="Arial"/>
          <w:i/>
          <w:iCs/>
          <w:color w:val="555555"/>
          <w:sz w:val="18"/>
          <w:szCs w:val="18"/>
        </w:rPr>
        <w:t xml:space="preserve">LUB &amp; SVC = observed. REINT &amp; CONF = proxy S10.</w:t>
      </w:r>
    </w:p>
    <w:p>
      <w:pPr>
        <w:spacing w:after="8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7E22" w:sz="8"/>
              <w:left w:val="single" w:color="E67E22" w:sz="12"/>
              <w:bottom w:val="single" w:color="E67E22" w:sz="8"/>
              <w:right w:val="single" w:color="E67E22" w:sz="8"/>
            </w:tcBorders>
            <w:shd w:fill="FDF5E8" w:val="clear"/>
            <w:tcMar>
              <w:top w:type="dxa" w:w="140"/>
              <w:left w:type="dxa" w:w="220"/>
              <w:bottom w:type="dxa" w:w="140"/>
              <w:right w:type="dxa" w:w="220"/>
            </w:tcMar>
          </w:tcPr>
          <w:p>
            <w:pPr>
              <w:spacing w:after="0" w:before="0"/>
              <w:jc w:val="both"/>
            </w:pPr>
            <w:r>
              <w:rPr>
                <w:rFonts w:ascii="Arial" w:cs="Arial" w:eastAsia="Arial" w:hAnsi="Arial"/>
                <w:color w:val="111111"/>
                <w:sz w:val="20"/>
                <w:szCs w:val="20"/>
              </w:rPr>
              <w:t xml:space="preserve">Aspek REINT dan CONF adalah proxy monetisasi — estimasi nilai sosial berdasarkan referensi kebijakan dan data sekunder, bukan pengukuran langsung. Jumlah peserta 70/70/80 orang per tahun adalah estimasi konservatif Skenario S10 yang belum diverifikasi dari data lapangan. Nilai ini perlu dikonfirmasi melalui survei peserta pada periode evaluasi berikutnya.</w:t>
            </w:r>
          </w:p>
        </w:tc>
      </w:tr>
    </w:tbl>
    <w:p>
      <w:pPr>
        <w:spacing w:after="100" w:before="0"/>
      </w:pPr>
      <w:r>
        <w:rPr>
          <w:rFonts w:ascii="Arial" w:cs="Arial" w:eastAsia="Arial" w:hAnsi="Arial"/>
          <w:sz w:val="22"/>
          <w:szCs w:val="22"/>
        </w:rPr>
        <w:t xml:space="preserve"/>
      </w:r>
    </w:p>
    <w:p>
      <w:pPr>
        <w:spacing w:after="60" w:before="80" w:line="320"/>
      </w:pPr>
      <w:r>
        <w:rPr>
          <w:rFonts w:ascii="Arial" w:cs="Arial" w:eastAsia="Arial" w:hAnsi="Arial"/>
          <w:b/>
          <w:bCs/>
          <w:color w:val="0D2B2B"/>
          <w:sz w:val="22"/>
          <w:szCs w:val="22"/>
        </w:rPr>
        <w:t xml:space="preserve">Distribusi nilai bersih per aspek (Rp juta, kumulatif 3 tahun)</w:t>
      </w:r>
    </w:p>
    <w:p>
      <w:pPr>
        <w:spacing w:after="40" w:before="0"/>
      </w:pPr>
      <w:r>
        <w:rPr>
          <w:rFonts w:ascii="Courier New" w:cs="Courier New" w:eastAsia="Courier New" w:hAnsi="Courier New"/>
          <w:sz w:val="18"/>
          <w:szCs w:val="18"/>
        </w:rPr>
        <w:t xml:space="preserve">REINT     </w:t>
      </w:r>
      <w:r>
        <w:rPr>
          <w:rFonts w:ascii="Courier New" w:cs="Courier New" w:eastAsia="Courier New" w:hAnsi="Courier New"/>
          <w:color w:val="0A6B6B"/>
          <w:sz w:val="14"/>
          <w:szCs w:val="14"/>
        </w:rPr>
        <w:t xml:space="preserve">████████████████████████████████░░░  </w:t>
      </w:r>
      <w:r>
        <w:rPr>
          <w:rFonts w:ascii="Arial" w:cs="Arial" w:eastAsia="Arial" w:hAnsi="Arial"/>
          <w:b/>
          <w:bCs/>
          <w:color w:val="0D2B2B"/>
          <w:sz w:val="20"/>
          <w:szCs w:val="20"/>
        </w:rPr>
        <w:t xml:space="preserve">385</w:t>
      </w:r>
    </w:p>
    <w:p>
      <w:pPr>
        <w:spacing w:after="40" w:before="0"/>
      </w:pPr>
      <w:r>
        <w:rPr>
          <w:rFonts w:ascii="Courier New" w:cs="Courier New" w:eastAsia="Courier New" w:hAnsi="Courier New"/>
          <w:sz w:val="18"/>
          <w:szCs w:val="18"/>
        </w:rPr>
        <w:t xml:space="preserve">LUB       </w:t>
      </w:r>
      <w:r>
        <w:rPr>
          <w:rFonts w:ascii="Courier New" w:cs="Courier New" w:eastAsia="Courier New" w:hAnsi="Courier New"/>
          <w:color w:val="0A6B6B"/>
          <w:sz w:val="14"/>
          <w:szCs w:val="14"/>
        </w:rPr>
        <w:t xml:space="preserve">███████░░░░░░░░░░░░░░░░░░░░░░░░░░░░  </w:t>
      </w:r>
      <w:r>
        <w:rPr>
          <w:rFonts w:ascii="Arial" w:cs="Arial" w:eastAsia="Arial" w:hAnsi="Arial"/>
          <w:b/>
          <w:bCs/>
          <w:color w:val="0D2B2B"/>
          <w:sz w:val="20"/>
          <w:szCs w:val="20"/>
        </w:rPr>
        <w:t xml:space="preserve">90.2</w:t>
      </w:r>
    </w:p>
    <w:p>
      <w:pPr>
        <w:spacing w:after="40" w:before="0"/>
      </w:pPr>
      <w:r>
        <w:rPr>
          <w:rFonts w:ascii="Courier New" w:cs="Courier New" w:eastAsia="Courier New" w:hAnsi="Courier New"/>
          <w:sz w:val="18"/>
          <w:szCs w:val="18"/>
        </w:rPr>
        <w:t xml:space="preserve">SVC       </w:t>
      </w:r>
      <w:r>
        <w:rPr>
          <w:rFonts w:ascii="Courier New" w:cs="Courier New" w:eastAsia="Courier New" w:hAnsi="Courier New"/>
          <w:color w:val="0A6B6B"/>
          <w:sz w:val="14"/>
          <w:szCs w:val="14"/>
        </w:rPr>
        <w:t xml:space="preserve">█████░░░░░░░░░░░░░░░░░░░░░░░░░░░░░░  </w:t>
      </w:r>
      <w:r>
        <w:rPr>
          <w:rFonts w:ascii="Arial" w:cs="Arial" w:eastAsia="Arial" w:hAnsi="Arial"/>
          <w:b/>
          <w:bCs/>
          <w:color w:val="0D2B2B"/>
          <w:sz w:val="20"/>
          <w:szCs w:val="20"/>
        </w:rPr>
        <w:t xml:space="preserve">56</w:t>
      </w:r>
    </w:p>
    <w:p>
      <w:pPr>
        <w:spacing w:after="40" w:before="0"/>
      </w:pPr>
      <w:r>
        <w:rPr>
          <w:rFonts w:ascii="Courier New" w:cs="Courier New" w:eastAsia="Courier New" w:hAnsi="Courier New"/>
          <w:sz w:val="18"/>
          <w:szCs w:val="18"/>
        </w:rPr>
        <w:t xml:space="preserve">CONF      </w:t>
      </w:r>
      <w:r>
        <w:rPr>
          <w:rFonts w:ascii="Courier New" w:cs="Courier New" w:eastAsia="Courier New" w:hAnsi="Courier New"/>
          <w:color w:val="0A6B6B"/>
          <w:sz w:val="14"/>
          <w:szCs w:val="14"/>
        </w:rPr>
        <w:t xml:space="preserve">███░░░░░░░░░░░░░░░░░░░░░░░░░░░░░░░░  </w:t>
      </w:r>
      <w:r>
        <w:rPr>
          <w:rFonts w:ascii="Arial" w:cs="Arial" w:eastAsia="Arial" w:hAnsi="Arial"/>
          <w:b/>
          <w:bCs/>
          <w:color w:val="0D2B2B"/>
          <w:sz w:val="20"/>
          <w:szCs w:val="20"/>
        </w:rPr>
        <w:t xml:space="preserve">33</w:t>
      </w:r>
    </w:p>
    <w:p>
      <w:pPr>
        <w:spacing w:after="80" w:before="0"/>
      </w:pPr>
      <w:r>
        <w:rPr>
          <w:rFonts w:ascii="Arial" w:cs="Arial" w:eastAsia="Arial" w:hAnsi="Arial"/>
          <w:sz w:val="22"/>
          <w:szCs w:val="22"/>
        </w:rPr>
        <w:t xml:space="preserve"/>
      </w:r>
    </w:p>
    <w:p>
      <w:pPr>
        <w:pBdr>
          <w:bottom w:val="single" w:color="0A6B6B" w:sz="12" w:space="4"/>
        </w:pBdr>
        <w:spacing w:after="80" w:before="0"/>
      </w:pPr>
      <w:r>
        <w:rPr>
          <w:rFonts w:ascii="Arial" w:cs="Arial" w:eastAsia="Arial" w:hAnsi="Arial"/>
          <w:sz w:val="22"/>
          <w:szCs w:val="22"/>
        </w:rPr>
        <w:t xml:space="preserve"/>
      </w:r>
    </w:p>
    <w:p>
      <w:pPr>
        <w:pStyle w:val="Heading2"/>
        <w:spacing w:after="100" w:before="240" w:line="320"/>
      </w:pPr>
      <w:r>
        <w:rPr>
          <w:rFonts w:ascii="Arial" w:cs="Arial" w:eastAsia="Arial" w:hAnsi="Arial"/>
          <w:b/>
          <w:bCs/>
          <w:color w:val="0A6B6B"/>
          <w:sz w:val="26"/>
          <w:szCs w:val="26"/>
        </w:rPr>
        <w:t xml:space="preserve">7.9 Nilai SROI dan Penjelasan</w:t>
      </w:r>
    </w:p>
    <w:p>
      <w:pPr>
        <w:spacing w:after="160" w:before="0" w:line="340"/>
        <w:jc w:val="both"/>
      </w:pPr>
      <w:r>
        <w:rPr>
          <w:rFonts w:ascii="Arial" w:cs="Arial" w:eastAsia="Arial" w:hAnsi="Arial"/>
          <w:color w:val="111111"/>
          <w:sz w:val="26"/>
          <w:szCs w:val="26"/>
        </w:rPr>
        <w:t xml:space="preserve">Berdasarkan kalkulasi evaluatif dengan compound ORI-adjusted dan DDAT net multiplier per aspek, program ESL menghasilkan SROI blended 1 : 0.52 — artinya setiap Rp 1 yang diinvestasikan menghasilkan Rp 0.52 nilai sosial-ekonomi terukur.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none" w:color="FFFFFF" w:sz="0"/>
              <w:left w:val="none" w:color="FFFFFF" w:sz="0"/>
              <w:bottom w:val="none" w:color="FFFFFF" w:sz="0"/>
              <w:right w:val="none" w:color="FFFFFF" w:sz="0"/>
            </w:tcBorders>
            <w:shd w:fill="EAF5F5" w:val="clear"/>
            <w:tcMar>
              <w:top w:type="dxa" w:w="160"/>
              <w:left w:type="dxa" w:w="180"/>
              <w:bottom w:type="dxa" w:w="160"/>
              <w:right w:type="dxa" w:w="180"/>
            </w:tcMar>
          </w:tcPr>
          <w:p>
            <w:pPr>
              <w:spacing w:after="40" w:before="0"/>
            </w:pPr>
            <w:r>
              <w:rPr>
                <w:rFonts w:ascii="Arial" w:cs="Arial" w:eastAsia="Arial" w:hAnsi="Arial"/>
                <w:color w:val="0A6B6B"/>
                <w:sz w:val="18"/>
                <w:szCs w:val="18"/>
              </w:rPr>
              <w:t xml:space="preserve">Total Investasi</w:t>
            </w:r>
          </w:p>
          <w:p>
            <w:pPr>
              <w:spacing w:after="40" w:before="0"/>
            </w:pPr>
            <w:r>
              <w:rPr>
                <w:rFonts w:ascii="Arial" w:cs="Arial" w:eastAsia="Arial" w:hAnsi="Arial"/>
                <w:b/>
                <w:bCs/>
                <w:color w:val="0D2B2B"/>
                <w:sz w:val="32"/>
                <w:szCs w:val="32"/>
              </w:rPr>
              <w:t xml:space="preserve">Rp 1,004,920,362</w:t>
            </w:r>
          </w:p>
          <w:p>
            <w:pPr>
              <w:spacing w:after="0" w:before="0"/>
            </w:pPr>
            <w:r>
              <w:rPr>
                <w:rFonts w:ascii="Arial" w:cs="Arial" w:eastAsia="Arial" w:hAnsi="Arial"/>
                <w:i/>
                <w:iCs/>
                <w:color w:val="555555"/>
                <w:sz w:val="18"/>
                <w:szCs w:val="18"/>
              </w:rPr>
              <w:t xml:space="preserve">2023–2025</w:t>
            </w:r>
          </w:p>
        </w:tc>
        <w:tc>
          <w:tcPr>
            <w:tcW w:type="dxa" w:w="3212"/>
            <w:tcBorders>
              <w:top w:val="none" w:color="FFFFFF" w:sz="0"/>
              <w:left w:val="none" w:color="FFFFFF" w:sz="0"/>
              <w:bottom w:val="none" w:color="FFFFFF" w:sz="0"/>
              <w:right w:val="none" w:color="FFFFFF" w:sz="0"/>
            </w:tcBorders>
            <w:shd w:fill="EEF4FA" w:val="clear"/>
            <w:tcMar>
              <w:top w:type="dxa" w:w="160"/>
              <w:left w:type="dxa" w:w="180"/>
              <w:bottom w:type="dxa" w:w="160"/>
              <w:right w:type="dxa" w:w="180"/>
            </w:tcMar>
          </w:tcPr>
          <w:p>
            <w:pPr>
              <w:spacing w:after="40" w:before="0"/>
            </w:pPr>
            <w:r>
              <w:rPr>
                <w:rFonts w:ascii="Arial" w:cs="Arial" w:eastAsia="Arial" w:hAnsi="Arial"/>
                <w:color w:val="0A6B6B"/>
                <w:sz w:val="18"/>
                <w:szCs w:val="18"/>
              </w:rPr>
              <w:t xml:space="preserve">Net Benefit (compounded)</w:t>
            </w:r>
          </w:p>
          <w:p>
            <w:pPr>
              <w:spacing w:after="40" w:before="0"/>
            </w:pPr>
            <w:r>
              <w:rPr>
                <w:rFonts w:ascii="Arial" w:cs="Arial" w:eastAsia="Arial" w:hAnsi="Arial"/>
                <w:b/>
                <w:bCs/>
                <w:color w:val="0D2B2B"/>
                <w:sz w:val="32"/>
                <w:szCs w:val="32"/>
              </w:rPr>
              <w:t xml:space="preserve">Rp 519,625,266</w:t>
            </w:r>
          </w:p>
          <w:p>
            <w:pPr>
              <w:spacing w:after="0" w:before="0"/>
            </w:pPr>
            <w:r>
              <w:rPr>
                <w:rFonts w:ascii="Arial" w:cs="Arial" w:eastAsia="Arial" w:hAnsi="Arial"/>
                <w:i/>
                <w:iCs/>
                <w:color w:val="555555"/>
                <w:sz w:val="18"/>
                <w:szCs w:val="18"/>
              </w:rPr>
              <w:t xml:space="preserve">terminal year 2025</w:t>
            </w:r>
          </w:p>
        </w:tc>
        <w:tc>
          <w:tcPr>
            <w:tcW w:type="dxa" w:w="3214"/>
            <w:tcBorders>
              <w:top w:val="none" w:color="FFFFFF" w:sz="0"/>
              <w:left w:val="none" w:color="FFFFFF" w:sz="0"/>
              <w:bottom w:val="none" w:color="FFFFFF" w:sz="0"/>
              <w:right w:val="none" w:color="FFFFFF" w:sz="0"/>
            </w:tcBorders>
            <w:shd w:fill="EAF5F5" w:val="clear"/>
            <w:tcMar>
              <w:top w:type="dxa" w:w="160"/>
              <w:left w:type="dxa" w:w="180"/>
              <w:bottom w:type="dxa" w:w="160"/>
              <w:right w:type="dxa" w:w="180"/>
            </w:tcMar>
          </w:tcPr>
          <w:p>
            <w:pPr>
              <w:spacing w:after="40" w:before="0"/>
            </w:pPr>
            <w:r>
              <w:rPr>
                <w:rFonts w:ascii="Arial" w:cs="Arial" w:eastAsia="Arial" w:hAnsi="Arial"/>
                <w:color w:val="0A6B6B"/>
                <w:sz w:val="18"/>
                <w:szCs w:val="18"/>
              </w:rPr>
              <w:t xml:space="preserve">SROI Blended</w:t>
            </w:r>
          </w:p>
          <w:p>
            <w:pPr>
              <w:spacing w:after="40" w:before="0"/>
            </w:pPr>
            <w:r>
              <w:rPr>
                <w:rFonts w:ascii="Arial" w:cs="Arial" w:eastAsia="Arial" w:hAnsi="Arial"/>
                <w:b/>
                <w:bCs/>
                <w:color w:val="0D2B2B"/>
                <w:sz w:val="32"/>
                <w:szCs w:val="32"/>
              </w:rPr>
              <w:t xml:space="preserve">1 : 0.52</w:t>
            </w:r>
          </w:p>
          <w:p>
            <w:pPr>
              <w:spacing w:after="0" w:before="0"/>
            </w:pPr>
            <w:r>
              <w:rPr>
                <w:rFonts w:ascii="Arial" w:cs="Arial" w:eastAsia="Arial" w:hAnsi="Arial"/>
                <w:i/>
                <w:iCs/>
                <w:color w:val="555555"/>
                <w:sz w:val="18"/>
                <w:szCs w:val="18"/>
              </w:rPr>
              <w:t xml:space="preserve">positive return</w:t>
            </w:r>
          </w:p>
        </w:tc>
      </w:tr>
    </w:tbl>
    <w:p>
      <w:pPr>
        <w:spacing w:after="10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1400"/>
        <w:gridCol w:w="1700"/>
        <w:gridCol w:w="1638"/>
        <w:gridCol w:w="1200"/>
      </w:tblGrid>
      <w:tr>
        <w:tc>
          <w:tcPr>
            <w:tcW w:type="dxa" w:w="8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Tahun</w:t>
            </w:r>
          </w:p>
        </w:tc>
        <w:tc>
          <w:tcPr>
            <w:tcW w:type="dxa" w:w="15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Investasi</w:t>
            </w:r>
          </w:p>
        </w:tc>
        <w:tc>
          <w:tcPr>
            <w:tcW w:type="dxa" w:w="14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Gross</w:t>
            </w:r>
          </w:p>
        </w:tc>
        <w:tc>
          <w:tcPr>
            <w:tcW w:type="dxa" w:w="14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Net</w:t>
            </w:r>
          </w:p>
        </w:tc>
        <w:tc>
          <w:tcPr>
            <w:tcW w:type="dxa" w:w="17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Compound</w:t>
            </w:r>
          </w:p>
        </w:tc>
        <w:tc>
          <w:tcPr>
            <w:tcW w:type="dxa" w:w="1638"/>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Net Compounded</w:t>
            </w:r>
          </w:p>
        </w:tc>
        <w:tc>
          <w:tcPr>
            <w:tcW w:type="dxa" w:w="1200"/>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SROI</w:t>
            </w:r>
          </w:p>
        </w:tc>
      </w:tr>
      <w:tr>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2023</w:t>
            </w:r>
          </w:p>
        </w:tc>
        <w:tc>
          <w:tcPr>
            <w:tcW w:type="dxa" w:w="15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256,216,818</w:t>
            </w:r>
          </w:p>
        </w:tc>
        <w:tc>
          <w:tcPr>
            <w:tcW w:type="dxa" w:w="14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299,530,000</w:t>
            </w:r>
          </w:p>
        </w:tc>
        <w:tc>
          <w:tcPr>
            <w:tcW w:type="dxa" w:w="14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149,765,000</w:t>
            </w:r>
          </w:p>
        </w:tc>
        <w:tc>
          <w:tcPr>
            <w:tcW w:type="dxa" w:w="17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×1.1252 (ORI023T3)</w:t>
            </w:r>
          </w:p>
        </w:tc>
        <w:tc>
          <w:tcPr>
            <w:tcW w:type="dxa" w:w="16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168,515,578</w:t>
            </w:r>
          </w:p>
        </w:tc>
        <w:tc>
          <w:tcPr>
            <w:tcW w:type="dxa" w:w="12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1 : 0.66</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2024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358,703,544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312,950,000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156,475,000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×1.0625 (ORI025T3)</w:t>
            </w:r>
          </w:p>
        </w:tc>
        <w:tc>
          <w:tcPr>
            <w:tcW w:type="dxa" w:w="1638"/>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166,254,688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1 : 0.46</w:t>
            </w:r>
          </w:p>
        </w:tc>
      </w:tr>
      <w:tr>
        <w:tc>
          <w:tcPr>
            <w:tcW w:type="dxa" w:w="8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2025</w:t>
            </w:r>
          </w:p>
        </w:tc>
        <w:tc>
          <w:tcPr>
            <w:tcW w:type="dxa" w:w="15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390,000,000</w:t>
            </w:r>
          </w:p>
        </w:tc>
        <w:tc>
          <w:tcPr>
            <w:tcW w:type="dxa" w:w="14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369,710,000</w:t>
            </w:r>
          </w:p>
        </w:tc>
        <w:tc>
          <w:tcPr>
            <w:tcW w:type="dxa" w:w="14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184,855,000</w:t>
            </w:r>
          </w:p>
        </w:tc>
        <w:tc>
          <w:tcPr>
            <w:tcW w:type="dxa" w:w="17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×1.0000 (ORI027T3)</w:t>
            </w:r>
          </w:p>
        </w:tc>
        <w:tc>
          <w:tcPr>
            <w:tcW w:type="dxa" w:w="1638"/>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Rp 184,855,000</w:t>
            </w:r>
          </w:p>
        </w:tc>
        <w:tc>
          <w:tcPr>
            <w:tcW w:type="dxa" w:w="1200"/>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1 : 0.47</w:t>
            </w:r>
          </w:p>
        </w:tc>
      </w:tr>
      <w:tr>
        <w:tc>
          <w:tcPr>
            <w:tcW w:type="dxa" w:w="8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w:t>
            </w:r>
          </w:p>
        </w:tc>
        <w:tc>
          <w:tcPr>
            <w:tcW w:type="dxa" w:w="15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1,004,920,362</w:t>
            </w:r>
          </w:p>
        </w:tc>
        <w:tc>
          <w:tcPr>
            <w:tcW w:type="dxa" w:w="14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982,190,000</w:t>
            </w:r>
          </w:p>
        </w:tc>
        <w:tc>
          <w:tcPr>
            <w:tcW w:type="dxa" w:w="14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491,095,000</w:t>
            </w:r>
          </w:p>
        </w:tc>
        <w:tc>
          <w:tcPr>
            <w:tcW w:type="dxa" w:w="17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w:t>
            </w:r>
          </w:p>
        </w:tc>
        <w:tc>
          <w:tcPr>
            <w:tcW w:type="dxa" w:w="1638"/>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519,625,266</w:t>
            </w:r>
          </w:p>
        </w:tc>
        <w:tc>
          <w:tcPr>
            <w:tcW w:type="dxa" w:w="1200"/>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1 : 0.52</w:t>
            </w:r>
          </w:p>
        </w:tc>
      </w:tr>
    </w:tbl>
    <w:p>
      <w:pPr>
        <w:spacing w:after="120" w:before="60" w:line="320"/>
      </w:pPr>
      <w:r>
        <w:rPr>
          <w:rFonts w:ascii="Arial" w:cs="Arial" w:eastAsia="Arial" w:hAnsi="Arial"/>
          <w:i/>
          <w:iCs/>
          <w:color w:val="555555"/>
          <w:sz w:val="18"/>
          <w:szCs w:val="18"/>
        </w:rPr>
        <w:t xml:space="preserve">Net compounded = nilai bersih yang di-compound ke terminal year 2025</w:t>
      </w:r>
    </w:p>
    <w:p>
      <w:pPr>
        <w:spacing w:after="8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Metrik</w:t>
            </w:r>
          </w:p>
        </w:tc>
        <w:tc>
          <w:tcPr>
            <w:tcW w:type="dxa" w:w="4819"/>
            <w:tcBorders>
              <w:top w:val="single" w:color="0D2B2B" w:sz="4"/>
              <w:left w:val="single" w:color="0D2B2B" w:sz="4"/>
              <w:bottom w:val="single" w:color="0D2B2B" w:sz="4"/>
              <w:right w:val="single" w:color="0D2B2B" w:sz="4"/>
            </w:tcBorders>
            <w:shd w:fill="0D2B2B"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Nilai</w:t>
            </w:r>
          </w:p>
        </w:tc>
      </w:tr>
      <w:tr>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 Investasi</w:t>
            </w:r>
          </w:p>
        </w:tc>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1,004,920,362</w:t>
            </w:r>
          </w:p>
        </w:tc>
      </w:tr>
      <w:tr>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 Gross Kumulatif</w:t>
            </w:r>
          </w:p>
        </w:tc>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982,190,000</w:t>
            </w:r>
          </w:p>
        </w:tc>
      </w:tr>
      <w:tr>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 Net Kumulatif</w:t>
            </w:r>
          </w:p>
        </w:tc>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491,095,000</w:t>
            </w:r>
          </w:p>
        </w:tc>
      </w:tr>
      <w:tr>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Total Net Compounded</w:t>
            </w:r>
          </w:p>
        </w:tc>
        <w:tc>
          <w:tcPr>
            <w:tcW w:type="dxa" w:w="4819"/>
            <w:tcBorders>
              <w:top w:val="single" w:color="CCCCCC" w:sz="4"/>
              <w:left w:val="single" w:color="CCCCCC" w:sz="4"/>
              <w:bottom w:val="single" w:color="CCCCCC" w:sz="4"/>
              <w:right w:val="single" w:color="CCCCCC" w:sz="4"/>
            </w:tcBorders>
            <w:shd w:fill="0D2B2B" w:val="clear"/>
            <w:tcMar>
              <w:top w:type="dxa" w:w="80"/>
              <w:left w:type="dxa" w:w="100"/>
              <w:bottom w:type="dxa" w:w="80"/>
              <w:right w:type="dxa" w:w="100"/>
            </w:tcMar>
          </w:tcPr>
          <w:p>
            <w:pPr>
              <w:spacing w:after="0" w:before="0"/>
              <w:jc w:val="right"/>
            </w:pPr>
            <w:r>
              <w:rPr>
                <w:rFonts w:ascii="Arial" w:cs="Arial" w:eastAsia="Arial" w:hAnsi="Arial"/>
                <w:b/>
                <w:bCs/>
                <w:color w:val="FFFFFF"/>
                <w:sz w:val="19"/>
                <w:szCs w:val="19"/>
              </w:rPr>
              <w:t xml:space="preserve">Rp 519,625,266</w:t>
            </w:r>
          </w:p>
        </w:tc>
      </w:tr>
      <w:tr>
        <w:tc>
          <w:tcPr>
            <w:tcW w:type="dxa" w:w="4819"/>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Avg Fiksasi</w:t>
            </w:r>
          </w:p>
        </w:tc>
        <w:tc>
          <w:tcPr>
            <w:tcW w:type="dxa" w:w="4819"/>
            <w:tcBorders>
              <w:top w:val="single" w:color="CCCCCC" w:sz="4"/>
              <w:left w:val="single" w:color="CCCCCC" w:sz="4"/>
              <w:bottom w:val="single" w:color="CCCCCC" w:sz="4"/>
              <w:right w:val="single" w:color="CCCCCC" w:sz="4"/>
            </w:tcBorders>
            <w:shd w:fill="EEF4FA"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−50.0%</w:t>
            </w:r>
          </w:p>
        </w:tc>
      </w:tr>
      <w:tr>
        <w:tc>
          <w:tcPr>
            <w:tcW w:type="dxa" w:w="4819"/>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left"/>
            </w:pPr>
            <w:r>
              <w:rPr>
                <w:rFonts w:ascii="Arial" w:cs="Arial" w:eastAsia="Arial" w:hAnsi="Arial"/>
                <w:b/>
                <w:bCs/>
                <w:color w:val="0D2B2B"/>
                <w:sz w:val="19"/>
                <w:szCs w:val="19"/>
              </w:rPr>
              <w:t xml:space="preserve">SROI Blended</w:t>
            </w:r>
          </w:p>
        </w:tc>
        <w:tc>
          <w:tcPr>
            <w:tcW w:type="dxa" w:w="4819"/>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after="0" w:before="0"/>
              <w:jc w:val="right"/>
            </w:pPr>
            <w:r>
              <w:rPr>
                <w:rFonts w:ascii="Arial" w:cs="Arial" w:eastAsia="Arial" w:hAnsi="Arial"/>
                <w:b w:val="false"/>
                <w:bCs w:val="false"/>
                <w:color w:val="111111"/>
                <w:sz w:val="19"/>
                <w:szCs w:val="19"/>
              </w:rPr>
              <w:t xml:space="preserve">1 : 0.52</w:t>
            </w:r>
          </w:p>
        </w:tc>
      </w:tr>
    </w:tbl>
    <w:p>
      <w:pPr>
        <w:spacing w:after="120" w:before="60" w:line="320"/>
      </w:pPr>
      <w:r>
        <w:rPr>
          <w:rFonts w:ascii="Arial" w:cs="Arial" w:eastAsia="Arial" w:hAnsi="Arial"/>
          <w:i/>
          <w:iCs/>
          <w:color w:val="555555"/>
          <w:sz w:val="18"/>
          <w:szCs w:val="18"/>
        </w:rPr>
        <w:t xml:space="preserve">Evaluatif · Compound ORI-adjusted · DDAT net multiplier per aspek · Terminal year 2025</w:t>
      </w:r>
    </w:p>
    <w:p>
      <w:pPr>
        <w:spacing w:after="80" w:before="0"/>
      </w:pPr>
      <w:r>
        <w:rPr>
          <w:rFonts w:ascii="Arial" w:cs="Arial" w:eastAsia="Arial" w:hAnsi="Arial"/>
          <w:sz w:val="22"/>
          <w:szCs w:val="22"/>
        </w:rPr>
        <w:t xml:space="preserve"/>
      </w:r>
    </w:p>
    <w:p>
      <w:pPr>
        <w:spacing w:after="120" w:before="0" w:line="320"/>
        <w:jc w:val="both"/>
      </w:pPr>
      <w:r>
        <w:rPr>
          <w:rFonts w:ascii="Arial" w:cs="Arial" w:eastAsia="Arial" w:hAnsi="Arial"/>
          <w:sz w:val="22"/>
          <w:szCs w:val="22"/>
        </w:rPr>
        <w:t xml:space="preserve">Tahun 2023 (ORI023T3, 5.90%): investasi Rp 256,216,818, gross Rp 299,530,000, nilai bersih setelah DDAT Rp 149,765,000, di-compound ×1.1252 menjadi Rp 168,515,578, SROI 1 : 0.66.</w:t>
      </w:r>
    </w:p>
    <w:p>
      <w:pPr>
        <w:spacing w:after="120" w:before="0" w:line="320"/>
        <w:jc w:val="both"/>
      </w:pPr>
      <w:r>
        <w:rPr>
          <w:rFonts w:ascii="Arial" w:cs="Arial" w:eastAsia="Arial" w:hAnsi="Arial"/>
          <w:sz w:val="22"/>
          <w:szCs w:val="22"/>
        </w:rPr>
        <w:t xml:space="preserve">Tahun 2024 (ORI025T3, 6.25%): investasi Rp 358,703,544, gross Rp 312,950,000, nilai bersih setelah DDAT Rp 156,475,000, di-compound ×1.0625 menjadi Rp 166,254,688, SROI 1 : 0.46.</w:t>
      </w:r>
    </w:p>
    <w:p>
      <w:pPr>
        <w:spacing w:after="120" w:before="0" w:line="320"/>
        <w:jc w:val="both"/>
      </w:pPr>
      <w:r>
        <w:rPr>
          <w:rFonts w:ascii="Arial" w:cs="Arial" w:eastAsia="Arial" w:hAnsi="Arial"/>
          <w:sz w:val="22"/>
          <w:szCs w:val="22"/>
        </w:rPr>
        <w:t xml:space="preserve">Tahun 2025 (ORI027T3, 6.50%): investasi Rp 390,000,000, gross Rp 369,710,000, nilai bersih setelah DDAT Rp 184,855,000, di-compound ×1.0000 menjadi Rp 184,855,000, SROI 1 : 0.47.</w:t>
      </w:r>
    </w:p>
    <w:p>
      <w:pPr>
        <w:pStyle w:val="Heading2"/>
        <w:spacing w:after="100" w:before="240" w:line="320"/>
      </w:pPr>
      <w:r>
        <w:rPr>
          <w:rFonts w:ascii="Arial" w:cs="Arial" w:eastAsia="Arial" w:hAnsi="Arial"/>
          <w:b/>
          <w:bCs/>
          <w:color w:val="0A6B6B"/>
          <w:sz w:val="26"/>
          <w:szCs w:val="26"/>
        </w:rPr>
        <w:t xml:space="preserve">7.10 Interpretasi dan Temuan Program</w:t>
      </w:r>
    </w:p>
    <w:p>
      <w:pPr>
        <w:spacing w:after="120" w:before="0" w:line="320"/>
        <w:jc w:val="both"/>
      </w:pPr>
      <w:r>
        <w:rPr>
          <w:rFonts w:ascii="Arial" w:cs="Arial" w:eastAsia="Arial" w:hAnsi="Arial"/>
          <w:sz w:val="22"/>
          <w:szCs w:val="22"/>
        </w:rPr>
        <w:t xml:space="preserve">Evaluasi SROI menunjukkan bahwa program menghasilkan nilai sosial yang melampaui investasi, namun penting untuk membaca angka ini dengan memahami struktur monetisasinya. Aspek REINT mendominasi nilai bersih kumulatif — hal ini logis mengingat outcome reintegrasi adalah tujuan utama program, namun juga menunjukkan bahwa kualitas proxy REINT adalah faktor penentu kredibilitas keseluruhan SROI.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7A50" w:sz="8"/>
              <w:left w:val="single" w:color="1A7A50" w:sz="12"/>
              <w:bottom w:val="single" w:color="1A7A50" w:sz="8"/>
              <w:right w:val="single" w:color="1A7A50" w:sz="8"/>
            </w:tcBorders>
            <w:shd w:fill="EAF5EE" w:val="clear"/>
            <w:tcMar>
              <w:top w:type="dxa" w:w="140"/>
              <w:left w:type="dxa" w:w="220"/>
              <w:bottom w:type="dxa" w:w="140"/>
              <w:right w:type="dxa" w:w="220"/>
            </w:tcMar>
          </w:tcPr>
          <w:p>
            <w:pPr>
              <w:spacing w:after="0" w:before="0"/>
              <w:jc w:val="both"/>
            </w:pPr>
            <w:r>
              <w:rPr>
                <w:rFonts w:ascii="Arial" w:cs="Arial" w:eastAsia="Arial" w:hAnsi="Arial"/>
                <w:color w:val="111111"/>
                <w:sz w:val="20"/>
                <w:szCs w:val="20"/>
              </w:rPr>
              <w:t xml:space="preserve">Milenial Motor (node eks-WBP) adalah bukti terkuat keberhasilan program: seorang eks-WBP yang telah menyelesaikan pelatihan di Lapas kini menjalankan usaha bengkel mandiri yang aktif dan produktif. Node ini membuktikan bahwa jalur Lapas → pelatihan → usaha mandiri adalah jalur yang viable dan dapat direplikasi ke node lapas lain.</w:t>
            </w:r>
          </w:p>
        </w:tc>
      </w:tr>
    </w:tbl>
    <w:p>
      <w:pPr>
        <w:spacing w:after="10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8"/>
              <w:left w:val="single" w:color="CCCCCC" w:sz="12"/>
              <w:bottom w:val="single" w:color="CCCCCC" w:sz="8"/>
              <w:right w:val="single" w:color="CCCCCC" w:sz="8"/>
            </w:tcBorders>
            <w:shd w:fill="F4F4F4" w:val="clear"/>
            <w:tcMar>
              <w:top w:type="dxa" w:w="140"/>
              <w:left w:type="dxa" w:w="220"/>
              <w:bottom w:type="dxa" w:w="140"/>
              <w:right w:type="dxa" w:w="220"/>
            </w:tcMar>
          </w:tcPr>
          <w:p>
            <w:pPr>
              <w:spacing w:after="0" w:before="0"/>
              <w:jc w:val="both"/>
            </w:pPr>
            <w:r>
              <w:rPr>
                <w:rFonts w:ascii="Arial" w:cs="Arial" w:eastAsia="Arial" w:hAnsi="Arial"/>
                <w:color w:val="111111"/>
                <w:sz w:val="20"/>
                <w:szCs w:val="20"/>
              </w:rPr>
              <w:t xml:space="preserve">Node Lapas Kota Palembang belum menghasilkan transaksi terukur selama 2023–2025. Ini adalah temuan jujur yang mencerminkan bahwa fase pembentukan kapasitas membutuhkan waktu lebih panjang dari yang direncanakan. Jika node ini dapat diaktivasi pada periode 2026 ke depan, SROI program berpotensi meningkat signifikan tanpa investasi tambahan yang proporsional.</w:t>
            </w:r>
          </w:p>
        </w:tc>
      </w:tr>
    </w:tbl>
    <w:p>
      <w:pPr>
        <w:spacing w:after="100" w:before="0"/>
      </w:pPr>
      <w:r>
        <w:rPr>
          <w:rFonts w:ascii="Arial" w:cs="Arial" w:eastAsia="Arial" w:hAnsi="Arial"/>
          <w:sz w:val="22"/>
          <w:szCs w:val="22"/>
        </w:rPr>
        <w:t xml:space="preserve"/>
      </w:r>
    </w:p>
    <w:p>
      <w:pPr>
        <w:spacing w:after="80" w:before="0" w:line="320"/>
        <w:jc w:val="both"/>
      </w:pPr>
      <w:r>
        <w:rPr>
          <w:rFonts w:ascii="Arial" w:cs="Arial" w:eastAsia="Arial" w:hAnsi="Arial"/>
          <w:i/>
          <w:iCs/>
          <w:color w:val="555555"/>
          <w:sz w:val="18"/>
          <w:szCs w:val="18"/>
        </w:rPr>
        <w:t xml:space="preserve">Catatan metodologis: seluruh angka pada bab ini dihasilkan oleh Financial Calculation Engine (deterministik, non-LLM) dan dapat ditelusuri melalui calc_audit_log. Evaluasi ini bersifat evaluatif — mengukur nilai yang dihasilkan selama 2023–2025 berdasarkan data yang tersedia, bukan proyeksi.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638"/>
      </w:tabs>
      <w:spacing w:after="0" w:before="80"/>
    </w:pPr>
    <w:r>
      <w:rPr>
        <w:rFonts w:ascii="Arial" w:cs="Arial" w:eastAsia="Arial" w:hAnsi="Arial"/>
        <w:color w:val="555555"/>
        <w:sz w:val="16"/>
        <w:szCs w:val="16"/>
      </w:rPr>
      <w:t xml:space="preserve">PT Pertamina Lubricants  ·  Program TJSL CSV</w:t>
    </w:r>
    <w:r>
      <w:rPr>
        <w:rFonts w:ascii="Arial" w:cs="Arial" w:eastAsia="Arial" w:hAnsi="Arial"/>
        <w:sz w:val="16"/>
        <w:szCs w:val="16"/>
      </w:rPr>
      <w:t xml:space="preserve">	</w:t>
    </w:r>
    <w:r>
      <w:rPr>
        <w:rFonts w:ascii="Arial" w:cs="Arial" w:eastAsia="Arial" w:hAnsi="Arial"/>
        <w:i/>
        <w:iCs/>
        <w:color w:val="555555"/>
        <w:sz w:val="16"/>
        <w:szCs w:val="16"/>
      </w:rPr>
      <w:t xml:space="preserve">Rendered by SROI Report System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B4" w:sz="4" w:space="4"/>
      </w:pBdr>
      <w:tabs>
        <w:tab w:val="right" w:pos="9638"/>
      </w:tabs>
      <w:spacing w:after="80" w:before="0"/>
    </w:pPr>
    <w:r>
      <w:rPr>
        <w:rFonts w:ascii="Arial" w:cs="Arial" w:eastAsia="Arial" w:hAnsi="Arial"/>
        <w:color w:val="0A6B6B"/>
        <w:sz w:val="16"/>
        <w:szCs w:val="16"/>
      </w:rPr>
      <w:t xml:space="preserve">Laporan Evaluasi SROI  ·  Enduro Sahabat Lapas  ·  Bab VII</w:t>
    </w:r>
    <w:r>
      <w:rPr>
        <w:rFonts w:ascii="Arial" w:cs="Arial" w:eastAsia="Arial" w:hAnsi="Arial"/>
        <w:sz w:val="16"/>
        <w:szCs w:val="16"/>
      </w:rPr>
      <w:t xml:space="preserve">	</w:t>
    </w:r>
    <w:r>
      <w:rPr>
        <w:rFonts w:ascii="Arial" w:cs="Arial" w:eastAsia="Arial" w:hAnsi="Arial"/>
        <w:color w:val="555555"/>
        <w:sz w:val="16"/>
        <w:szCs w:val="16"/>
      </w:rPr>
      <w:t xml:space="preserve">PT Dipa Konsultan Utama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2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A6B6B"/>
      <w:sz w:val="26"/>
      <w:szCs w:val="26"/>
    </w:rPr>
  </w:style>
  <w:style w:type="paragraph" w:styleId="Heading3">
    <w:name w:val="Heading 3"/>
    <w:basedOn w:val="Normal"/>
    <w:next w:val="Normal"/>
    <w:qFormat/>
    <w:pPr>
      <w:spacing w:after="70" w:before="180"/>
      <w:outlineLvl w:val="2"/>
    </w:pPr>
    <w:rPr>
      <w:rFonts w:ascii="Arial" w:cs="Arial" w:eastAsia="Arial" w:hAnsi="Arial"/>
      <w:b/>
      <w:bCs/>
      <w:color w:val="0D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2026-04-12T06:48:54.469Z</dcterms:created>
  <dcterms:modified xsi:type="dcterms:W3CDTF">2026-04-12T06:48:54.470Z</dcterms:modified>
</cp:coreProperties>
</file>

<file path=docProps/custom.xml><?xml version="1.0" encoding="utf-8"?>
<Properties xmlns="http://schemas.openxmlformats.org/officeDocument/2006/custom-properties" xmlns:vt="http://schemas.openxmlformats.org/officeDocument/2006/docPropsVTypes"/>
</file>