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李商隐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云母屏风烛影深，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长河渐落晓星沉。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嫦娥应悔偷灵药，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意思：云母装饰的屏风上，烛光的影子又深又暗。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原句：云母屏风烛影深，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意思：银河渐渐西斜，晨星也沉落了。（长河＝银河）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原句：长河渐落晓星沉。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意思：料想嫦娥该后悔偷吃了长生不老药。（应＝料想）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原句：嫦娥应悔偷灵药，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意思：面对碧海般的青天，夜夜感到孤单寂寞。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原句：碧海青天夜夜心。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大意：屏风上烛影深深，银河西斜、晨星沉落；嫦娥大概后悔偷了灵药，从此只能夜夜面对碧海青天，孤清寂寞。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李商隐，晚唐诗人，与杜牧合称「小李杜」。借嫦娥奔月写孤寂。须会背、会默、懂每句意思。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