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语文园地四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唐 · 李商隐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云母屏风烛影深，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长河渐落晓星沉。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嫦娥应悔偷灵药，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8"/>
        </w:rPr>
        <w:t>碧海青天夜夜心。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见「一、全文」原句。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意思：云母装饰的屏风上，烛光的影子又深又暗。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原句：云母屏风烛影深，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意思：银河渐渐西斜，晨星也沉落了。（长河＝银河）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原句：长河渐落晓星沉。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意思：料想嫦娥该后悔偷吃了长生不老药。（应＝料想）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原句：嫦娥应悔偷灵药，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意思：面对碧海般的青天，夜夜感到孤单寂寞。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原句：碧海青天夜夜心。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李商隐，晚唐诗人，与杜牧合称「小李杜」。借嫦娥奔月写孤寂。须会背、会默、懂每句意思。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