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宋体" w:hAnsi="宋体" w:eastAsia="宋体"/>
          <w:b/>
          <w:sz w:val="28"/>
        </w:rPr>
        <w:t>第四单元 · 数量关系 · 参考答案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0" w:after="60" w:line="307" w:lineRule="auto"/>
      </w:pPr>
      <w:r>
        <w:rPr>
          <w:rFonts w:ascii="宋体" w:hAnsi="宋体" w:eastAsia="宋体"/>
          <w:b w:val="0"/>
          <w:color w:val="1E7EB8"/>
          <w:sz w:val="20"/>
        </w:rPr>
        <w:t>参考答案待按原卷补全。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