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  <w:jc w:val="center"/>
      </w:pPr>
      <w:r>
        <w:rPr>
          <w:rFonts w:ascii="黑体" w:hAnsi="黑体" w:eastAsia="黑体"/>
          <w:b/>
          <w:sz w:val="28"/>
        </w:rPr>
        <w:t>数学 · 四上 · 期中重点练计算和附加卷 · 参考答案</w:t>
      </w:r>
    </w:p>
    <w:p>
      <w:pPr>
        <w:spacing w:before="0" w:after="160" w:line="300" w:lineRule="auto"/>
      </w:pPr>
      <w:r>
        <w:rPr>
          <w:rFonts w:ascii="宋体" w:hAnsi="宋体" w:eastAsia="宋体"/>
          <w:b w:val="0"/>
          <w:color w:val="506E8C"/>
          <w:sz w:val="21"/>
        </w:rPr>
        <w:t>答案页待按原卷补全；先交付清晰试卷。</w:t>
      </w:r>
    </w:p>
    <w:sectPr w:rsidR="00FC693F" w:rsidRPr="0006063C" w:rsidSect="00034616"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