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7" w:lineRule="auto"/>
        <w:jc w:val="center"/>
      </w:pPr>
      <w:r>
        <w:rPr>
          <w:rFonts w:ascii="黑体" w:hAnsi="黑体" w:eastAsia="黑体"/>
          <w:b/>
          <w:sz w:val="28"/>
        </w:rPr>
        <w:t>数学 · 四上 · 期中综合练习卷 · 参考答案</w:t>
      </w:r>
    </w:p>
    <w:p>
      <w:pPr>
        <w:spacing w:before="0" w:after="160" w:line="307" w:lineRule="auto"/>
      </w:pPr>
      <w:r>
        <w:rPr>
          <w:rFonts w:ascii="宋体" w:hAnsi="宋体" w:eastAsia="宋体"/>
          <w:b w:val="0"/>
          <w:color w:val="506E8C"/>
          <w:sz w:val="21"/>
        </w:rPr>
        <w:t>答案页待按原卷补全；先交付清晰试卷。</w:t>
      </w:r>
    </w:p>
    <w:sectPr w:rsidR="00FC693F" w:rsidRPr="0006063C" w:rsidSect="00034616">
      <w:pgSz w:w="11906" w:h="16838"/>
      <w:pgMar w:top="624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