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jc w:val="center"/>
      </w:pPr>
      <w:r>
        <w:drawing>
          <wp:inline xmlns:a="http://schemas.openxmlformats.org/drawingml/2006/main" xmlns:pic="http://schemas.openxmlformats.org/drawingml/2006/picture">
            <wp:extent cx="3474720" cy="2481943"/>
            <wp:docPr id="1" name="Picture 1"/>
            <wp:cNvGraphicFramePr>
              <a:graphicFrameLocks noChangeAspect="1"/>
            </wp:cNvGraphicFramePr>
            <a:graphic>
              <a:graphicData uri="http://schemas.openxmlformats.org/drawingml/2006/picture">
                <pic:pic>
                  <pic:nvPicPr>
                    <pic:cNvPr id="0" name="snb-current-logo-clean.png"/>
                    <pic:cNvPicPr/>
                  </pic:nvPicPr>
                  <pic:blipFill>
                    <a:blip r:embed="rId10"/>
                    <a:stretch>
                      <a:fillRect/>
                    </a:stretch>
                  </pic:blipFill>
                  <pic:spPr>
                    <a:xfrm>
                      <a:off x="0" y="0"/>
                      <a:ext cx="3474720" cy="2481943"/>
                    </a:xfrm>
                    <a:prstGeom prst="rect"/>
                  </pic:spPr>
                </pic:pic>
              </a:graphicData>
            </a:graphic>
          </wp:inline>
        </w:drawing>
      </w:r>
    </w:p>
    <w:p>
      <w:pPr>
        <w:pStyle w:val="Title"/>
        <w:spacing w:before="240" w:after="80" w:line="259" w:lineRule="auto"/>
        <w:jc w:val="center"/>
      </w:pPr>
      <w:r>
        <w:rPr>
          <w:rFonts w:ascii="DejaVu Sans" w:hAnsi="DejaVu Sans"/>
          <w:b/>
          <w:color w:val="000000"/>
          <w:sz w:val="46"/>
        </w:rPr>
        <w:t>Sarah and the Buds Visual Identity Guide</w:t>
      </w:r>
    </w:p>
    <w:p>
      <w:pPr>
        <w:spacing w:before="0" w:after="240" w:line="259" w:lineRule="auto"/>
        <w:jc w:val="center"/>
      </w:pPr>
      <w:r>
        <w:rPr>
          <w:rFonts w:ascii="DejaVu Sans" w:hAnsi="DejaVu Sans"/>
          <w:color w:val="4A4A4A"/>
          <w:sz w:val="22"/>
        </w:rPr>
        <w:t>Logo  Typography  Color  Photography  Promotion</w:t>
      </w:r>
    </w:p>
    <w:p>
      <w:pPr>
        <w:keepNext w:val="0"/>
        <w:jc w:val="center"/>
      </w:pPr>
      <w:r>
        <w:drawing>
          <wp:inline xmlns:a="http://schemas.openxmlformats.org/drawingml/2006/main" xmlns:pic="http://schemas.openxmlformats.org/drawingml/2006/picture">
            <wp:extent cx="5166360" cy="2981728"/>
            <wp:docPr id="2" name="Picture 2"/>
            <wp:cNvGraphicFramePr>
              <a:graphicFrameLocks noChangeAspect="1"/>
            </wp:cNvGraphicFramePr>
            <a:graphic>
              <a:graphicData uri="http://schemas.openxmlformats.org/drawingml/2006/picture">
                <pic:pic>
                  <pic:nvPicPr>
                    <pic:cNvPr id="0" name="band-photo.png"/>
                    <pic:cNvPicPr/>
                  </pic:nvPicPr>
                  <pic:blipFill>
                    <a:blip r:embed="rId11"/>
                    <a:stretch>
                      <a:fillRect/>
                    </a:stretch>
                  </pic:blipFill>
                  <pic:spPr>
                    <a:xfrm>
                      <a:off x="0" y="0"/>
                      <a:ext cx="5166360" cy="2981728"/>
                    </a:xfrm>
                    <a:prstGeom prst="rect"/>
                  </pic:spPr>
                </pic:pic>
              </a:graphicData>
            </a:graphic>
          </wp:inline>
        </w:drawing>
      </w:r>
    </w:p>
    <w:p>
      <w:pPr>
        <w:spacing w:before="140" w:after="0" w:line="259" w:lineRule="auto"/>
        <w:jc w:val="center"/>
      </w:pPr>
      <w:r>
        <w:rPr>
          <w:rFonts w:ascii="DejaVu Sans" w:hAnsi="DejaVu Sans"/>
          <w:color w:val="666666"/>
          <w:sz w:val="18"/>
        </w:rPr>
        <w:t>Version 1.0  |  September 2026</w:t>
      </w:r>
    </w:p>
    <w:p>
      <w:r>
        <w:br w:type="page"/>
      </w:r>
    </w:p>
    <w:p>
      <w:pPr>
        <w:pStyle w:val="Heading1"/>
        <w:keepNext/>
        <w:spacing w:before="200" w:after="100"/>
      </w:pPr>
      <w:r>
        <w:rPr>
          <w:rFonts w:ascii="DejaVu Sans" w:hAnsi="DejaVu Sans"/>
          <w:b/>
          <w:color w:val="000000"/>
          <w:sz w:val="36"/>
        </w:rPr>
        <w:t>Purpose and Brand Structure</w:t>
      </w:r>
    </w:p>
    <w:p>
      <w:pPr>
        <w:spacing w:before="0" w:after="140" w:line="269" w:lineRule="auto"/>
      </w:pPr>
      <w:r>
        <w:rPr>
          <w:rFonts w:ascii="DejaVu Sans" w:hAnsi="DejaVu Sans"/>
          <w:color w:val="111111"/>
          <w:sz w:val="21"/>
        </w:rPr>
        <w:t>This guide gives Sarah &amp; the Buds one consistent visual system for show graphics, social posts, flyers, signs, booking materials, and merchandise. The business card establishes the identity: a simple S&amp;B mark, music icons, black and warm white, rounded modern type, and an easygoing personality.</w:t>
      </w:r>
    </w:p>
    <w:p>
      <w:pPr>
        <w:pStyle w:val="Heading2"/>
        <w:keepNext/>
        <w:spacing w:before="140" w:after="100"/>
      </w:pPr>
      <w:r>
        <w:rPr>
          <w:rFonts w:ascii="DejaVu Sans" w:hAnsi="DejaVu Sans"/>
          <w:b/>
          <w:color w:val="000000"/>
          <w:sz w:val="26"/>
        </w:rPr>
        <w:t>Brand Character</w:t>
      </w:r>
    </w:p>
    <w:p>
      <w:pPr>
        <w:pStyle w:val="ListBullet"/>
        <w:spacing w:before="0" w:after="60" w:line="259" w:lineRule="auto"/>
      </w:pPr>
      <w:r>
        <w:rPr>
          <w:rFonts w:ascii="DejaVu Sans" w:hAnsi="DejaVu Sans"/>
          <w:color w:val="111111"/>
          <w:sz w:val="20"/>
        </w:rPr>
        <w:t>Warm, welcoming, and genuinely personal</w:t>
      </w:r>
    </w:p>
    <w:p>
      <w:pPr>
        <w:pStyle w:val="ListBullet"/>
        <w:spacing w:before="0" w:after="60" w:line="259" w:lineRule="auto"/>
      </w:pPr>
      <w:r>
        <w:rPr>
          <w:rFonts w:ascii="DejaVu Sans" w:hAnsi="DejaVu Sans"/>
          <w:color w:val="111111"/>
          <w:sz w:val="20"/>
        </w:rPr>
        <w:t>Playful without looking childish</w:t>
      </w:r>
    </w:p>
    <w:p>
      <w:pPr>
        <w:pStyle w:val="ListBullet"/>
        <w:spacing w:before="0" w:after="60" w:line="259" w:lineRule="auto"/>
      </w:pPr>
      <w:r>
        <w:rPr>
          <w:rFonts w:ascii="DejaVu Sans" w:hAnsi="DejaVu Sans"/>
          <w:color w:val="111111"/>
          <w:sz w:val="20"/>
        </w:rPr>
        <w:t>Local, familiar, and unpretentious</w:t>
      </w:r>
    </w:p>
    <w:p>
      <w:pPr>
        <w:pStyle w:val="ListBullet"/>
        <w:spacing w:before="0" w:after="60" w:line="259" w:lineRule="auto"/>
      </w:pPr>
      <w:r>
        <w:rPr>
          <w:rFonts w:ascii="DejaVu Sans" w:hAnsi="DejaVu Sans"/>
          <w:color w:val="111111"/>
          <w:sz w:val="20"/>
        </w:rPr>
        <w:t>Musically confident without feeling overly polished or corporate</w:t>
      </w:r>
    </w:p>
    <w:p>
      <w:pPr>
        <w:pStyle w:val="ListBullet"/>
        <w:spacing w:before="0" w:after="60" w:line="259" w:lineRule="auto"/>
      </w:pPr>
      <w:r>
        <w:rPr>
          <w:rFonts w:ascii="DejaVu Sans" w:hAnsi="DejaVu Sans"/>
          <w:color w:val="111111"/>
          <w:sz w:val="20"/>
        </w:rPr>
        <w:t>Simple enough to recognize quickly on a phone or across a room</w:t>
      </w:r>
    </w:p>
    <w:p>
      <w:pPr>
        <w:pStyle w:val="Heading2"/>
        <w:keepNext/>
        <w:spacing w:before="140" w:after="100"/>
      </w:pPr>
      <w:r>
        <w:rPr>
          <w:rFonts w:ascii="DejaVu Sans" w:hAnsi="DejaVu Sans"/>
          <w:b/>
          <w:color w:val="000000"/>
          <w:sz w:val="26"/>
        </w:rPr>
        <w:t>Naming System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584"/>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Use</w:t>
            </w:r>
          </w:p>
        </w:tc>
        <w:tc>
          <w:tcPr>
            <w:tcW w:type="dxa" w:w="2448"/>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Official name</w:t>
            </w:r>
          </w:p>
        </w:tc>
        <w:tc>
          <w:tcPr>
            <w:tcW w:type="dxa" w:w="5760"/>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Where it appears</w:t>
            </w:r>
          </w:p>
        </w:tc>
      </w:tr>
      <w:tr>
        <w:tc>
          <w:tcPr>
            <w:tcW w:type="dxa" w:w="1584"/>
            <w:tcMar>
              <w:top w:w="130" w:type="dxa"/>
              <w:start w:w="140" w:type="dxa"/>
              <w:bottom w:w="130" w:type="dxa"/>
              <w:end w:w="140" w:type="dxa"/>
            </w:tcMar>
            <w:vAlign w:val="center"/>
          </w:tcPr>
          <w:p>
            <w:pPr>
              <w:spacing w:before="0" w:after="0" w:line="250" w:lineRule="auto"/>
            </w:pPr>
            <w:r>
              <w:rPr>
                <w:rFonts w:ascii="DejaVu Sans" w:hAnsi="DejaVu Sans"/>
                <w:color w:val="111111"/>
                <w:sz w:val="18"/>
              </w:rPr>
              <w:t>Full band</w:t>
            </w:r>
          </w:p>
        </w:tc>
        <w:tc>
          <w:tcPr>
            <w:tcW w:type="dxa" w:w="2448"/>
            <w:tcMar>
              <w:top w:w="130" w:type="dxa"/>
              <w:start w:w="140" w:type="dxa"/>
              <w:bottom w:w="130" w:type="dxa"/>
              <w:end w:w="140" w:type="dxa"/>
            </w:tcMar>
            <w:vAlign w:val="center"/>
          </w:tcPr>
          <w:p>
            <w:pPr>
              <w:spacing w:before="0" w:after="0" w:line="250" w:lineRule="auto"/>
            </w:pPr>
            <w:r>
              <w:rPr>
                <w:rFonts w:ascii="DejaVu Sans" w:hAnsi="DejaVu Sans"/>
                <w:color w:val="111111"/>
                <w:sz w:val="18"/>
              </w:rPr>
              <w:t>Sarah &amp; the Buds</w:t>
            </w:r>
          </w:p>
        </w:tc>
        <w:tc>
          <w:tcPr>
            <w:tcW w:type="dxa" w:w="5760"/>
            <w:tcMar>
              <w:top w:w="130" w:type="dxa"/>
              <w:start w:w="140" w:type="dxa"/>
              <w:bottom w:w="130" w:type="dxa"/>
              <w:end w:w="140" w:type="dxa"/>
            </w:tcMar>
            <w:vAlign w:val="center"/>
          </w:tcPr>
          <w:p>
            <w:pPr>
              <w:spacing w:before="0" w:after="0" w:line="250" w:lineRule="auto"/>
            </w:pPr>
            <w:r>
              <w:rPr>
                <w:rFonts w:ascii="DejaVu Sans" w:hAnsi="DejaVu Sans"/>
                <w:color w:val="111111"/>
                <w:sz w:val="18"/>
              </w:rPr>
              <w:t>Four-piece shows, venue listings, posters, and full-band posts</w:t>
            </w:r>
          </w:p>
        </w:tc>
      </w:tr>
      <w:tr>
        <w:tc>
          <w:tcPr>
            <w:tcW w:type="dxa" w:w="1584"/>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Duo</w:t>
            </w:r>
          </w:p>
        </w:tc>
        <w:tc>
          <w:tcPr>
            <w:tcW w:type="dxa" w:w="2448"/>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Sarah &amp; Bud</w:t>
            </w:r>
          </w:p>
        </w:tc>
        <w:tc>
          <w:tcPr>
            <w:tcW w:type="dxa" w:w="576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Acoustic duo bookings and duo-specific promotion</w:t>
            </w:r>
          </w:p>
        </w:tc>
      </w:tr>
      <w:tr>
        <w:tc>
          <w:tcPr>
            <w:tcW w:type="dxa" w:w="1584"/>
            <w:tcMar>
              <w:top w:w="130" w:type="dxa"/>
              <w:start w:w="140" w:type="dxa"/>
              <w:bottom w:w="130" w:type="dxa"/>
              <w:end w:w="140" w:type="dxa"/>
            </w:tcMar>
            <w:vAlign w:val="center"/>
          </w:tcPr>
          <w:p>
            <w:pPr>
              <w:spacing w:before="0" w:after="0" w:line="250" w:lineRule="auto"/>
            </w:pPr>
            <w:r>
              <w:rPr>
                <w:rFonts w:ascii="DejaVu Sans" w:hAnsi="DejaVu Sans"/>
                <w:color w:val="111111"/>
                <w:sz w:val="18"/>
              </w:rPr>
              <w:t>Shared mark</w:t>
            </w:r>
          </w:p>
        </w:tc>
        <w:tc>
          <w:tcPr>
            <w:tcW w:type="dxa" w:w="2448"/>
            <w:tcMar>
              <w:top w:w="130" w:type="dxa"/>
              <w:start w:w="140" w:type="dxa"/>
              <w:bottom w:w="130" w:type="dxa"/>
              <w:end w:w="140" w:type="dxa"/>
            </w:tcMar>
            <w:vAlign w:val="center"/>
          </w:tcPr>
          <w:p>
            <w:pPr>
              <w:spacing w:before="0" w:after="0" w:line="250" w:lineRule="auto"/>
            </w:pPr>
            <w:r>
              <w:rPr>
                <w:rFonts w:ascii="DejaVu Sans" w:hAnsi="DejaVu Sans"/>
                <w:color w:val="111111"/>
                <w:sz w:val="18"/>
              </w:rPr>
              <w:t>S&amp;B</w:t>
            </w:r>
          </w:p>
        </w:tc>
        <w:tc>
          <w:tcPr>
            <w:tcW w:type="dxa" w:w="5760"/>
            <w:tcMar>
              <w:top w:w="130" w:type="dxa"/>
              <w:start w:w="140" w:type="dxa"/>
              <w:bottom w:w="130" w:type="dxa"/>
              <w:end w:w="140" w:type="dxa"/>
            </w:tcMar>
            <w:vAlign w:val="center"/>
          </w:tcPr>
          <w:p>
            <w:pPr>
              <w:spacing w:before="0" w:after="0" w:line="250" w:lineRule="auto"/>
            </w:pPr>
            <w:r>
              <w:rPr>
                <w:rFonts w:ascii="DejaVu Sans" w:hAnsi="DejaVu Sans"/>
                <w:color w:val="111111"/>
                <w:sz w:val="18"/>
              </w:rPr>
              <w:t>Avatar, card front, merchandise, and compact spaces</w:t>
            </w:r>
          </w:p>
        </w:tc>
      </w:tr>
    </w:tbl>
    <w:p>
      <w:pPr>
        <w:spacing w:before="0" w:after="20" w:line="259" w:lineRule="auto"/>
      </w:pPr>
    </w:p>
    <w:p>
      <w:pPr>
        <w:spacing w:before="0" w:after="140" w:line="269" w:lineRule="auto"/>
      </w:pPr>
      <w:r>
        <w:rPr>
          <w:rFonts w:ascii="DejaVu Sans" w:hAnsi="DejaVu Sans"/>
          <w:color w:val="111111"/>
          <w:sz w:val="21"/>
        </w:rPr>
        <w:t>Always use the ampersand. In normal title case, write Sarah &amp; the Buds with a lowercase “the.” In an all-uppercase lockup, use SARAH &amp; THE BUDS. The S&amp;B mark may represent either act, but the appropriate full name must appear elsewhere on the piece.</w:t>
      </w:r>
    </w:p>
    <w:p>
      <w:r>
        <w:br w:type="page"/>
      </w:r>
    </w:p>
    <w:p>
      <w:pPr>
        <w:pStyle w:val="Heading1"/>
        <w:keepNext/>
        <w:spacing w:before="200" w:after="100"/>
      </w:pPr>
      <w:r>
        <w:rPr>
          <w:rFonts w:ascii="DejaVu Sans" w:hAnsi="DejaVu Sans"/>
          <w:b/>
          <w:color w:val="000000"/>
          <w:sz w:val="36"/>
        </w:rPr>
        <w:t>Logo System</w:t>
      </w:r>
    </w:p>
    <w:p>
      <w:pPr>
        <w:spacing w:before="0" w:after="140" w:line="269" w:lineRule="auto"/>
      </w:pPr>
      <w:r>
        <w:rPr>
          <w:rFonts w:ascii="DejaVu Sans" w:hAnsi="DejaVu Sans"/>
          <w:color w:val="111111"/>
          <w:sz w:val="21"/>
        </w:rPr>
        <w:t>The S&amp;B lettering is the logo itself. It should be used as artwork rather than retyped. This protects the proportions and character of the mark even when different software or fonts are used.</w:t>
      </w:r>
    </w:p>
    <w:p>
      <w:pPr>
        <w:keepNext/>
        <w:jc w:val="center"/>
      </w:pPr>
      <w:r>
        <w:drawing>
          <wp:inline xmlns:a="http://schemas.openxmlformats.org/drawingml/2006/main" xmlns:pic="http://schemas.openxmlformats.org/drawingml/2006/picture">
            <wp:extent cx="3794760" cy="2710543"/>
            <wp:docPr id="3" name="Picture 3"/>
            <wp:cNvGraphicFramePr>
              <a:graphicFrameLocks noChangeAspect="1"/>
            </wp:cNvGraphicFramePr>
            <a:graphic>
              <a:graphicData uri="http://schemas.openxmlformats.org/drawingml/2006/picture">
                <pic:pic>
                  <pic:nvPicPr>
                    <pic:cNvPr id="0" name="snb-current-logo-clean.png"/>
                    <pic:cNvPicPr/>
                  </pic:nvPicPr>
                  <pic:blipFill>
                    <a:blip r:embed="rId10"/>
                    <a:stretch>
                      <a:fillRect/>
                    </a:stretch>
                  </pic:blipFill>
                  <pic:spPr>
                    <a:xfrm>
                      <a:off x="0" y="0"/>
                      <a:ext cx="3794760" cy="2710543"/>
                    </a:xfrm>
                    <a:prstGeom prst="rect"/>
                  </pic:spPr>
                </pic:pic>
              </a:graphicData>
            </a:graphic>
          </wp:inline>
        </w:drawing>
      </w:r>
    </w:p>
    <w:p>
      <w:pPr>
        <w:spacing w:before="0" w:after="180" w:line="259" w:lineRule="auto"/>
        <w:jc w:val="center"/>
      </w:pPr>
      <w:r>
        <w:rPr>
          <w:rFonts w:ascii="DejaVu Sans" w:hAnsi="DejaVu Sans"/>
          <w:i/>
          <w:color w:val="555555"/>
          <w:sz w:val="17"/>
        </w:rPr>
        <w:t>Current S&amp;B mark reproduced directly from the business card artwork</w:t>
      </w:r>
    </w:p>
    <w:p>
      <w:pPr>
        <w:pStyle w:val="Heading2"/>
        <w:keepNext/>
        <w:spacing w:before="140" w:after="100"/>
      </w:pPr>
      <w:r>
        <w:rPr>
          <w:rFonts w:ascii="DejaVu Sans" w:hAnsi="DejaVu Sans"/>
          <w:b/>
          <w:color w:val="000000"/>
          <w:sz w:val="26"/>
        </w:rPr>
        <w:t>Full Band Lockup</w:t>
      </w:r>
    </w:p>
    <w:p>
      <w:pPr>
        <w:keepNext/>
        <w:jc w:val="center"/>
      </w:pPr>
      <w:r>
        <w:drawing>
          <wp:inline xmlns:a="http://schemas.openxmlformats.org/drawingml/2006/main" xmlns:pic="http://schemas.openxmlformats.org/drawingml/2006/picture">
            <wp:extent cx="4343400" cy="892810"/>
            <wp:docPr id="4" name="Picture 4"/>
            <wp:cNvGraphicFramePr>
              <a:graphicFrameLocks noChangeAspect="1"/>
            </wp:cNvGraphicFramePr>
            <a:graphic>
              <a:graphicData uri="http://schemas.openxmlformats.org/drawingml/2006/picture">
                <pic:pic>
                  <pic:nvPicPr>
                    <pic:cNvPr id="0" name="snb-full-band-lockup.png"/>
                    <pic:cNvPicPr/>
                  </pic:nvPicPr>
                  <pic:blipFill>
                    <a:blip r:embed="rId12"/>
                    <a:stretch>
                      <a:fillRect/>
                    </a:stretch>
                  </pic:blipFill>
                  <pic:spPr>
                    <a:xfrm>
                      <a:off x="0" y="0"/>
                      <a:ext cx="4343400" cy="892810"/>
                    </a:xfrm>
                    <a:prstGeom prst="rect"/>
                  </pic:spPr>
                </pic:pic>
              </a:graphicData>
            </a:graphic>
          </wp:inline>
        </w:drawing>
      </w:r>
    </w:p>
    <w:p>
      <w:pPr>
        <w:spacing w:before="0" w:after="180" w:line="259" w:lineRule="auto"/>
        <w:jc w:val="center"/>
      </w:pPr>
      <w:r>
        <w:rPr>
          <w:rFonts w:ascii="DejaVu Sans" w:hAnsi="DejaVu Sans"/>
          <w:i/>
          <w:color w:val="555555"/>
          <w:sz w:val="17"/>
        </w:rPr>
        <w:t>Working full-band lockup for Sarah &amp; the Buds</w:t>
      </w:r>
    </w:p>
    <w:p>
      <w:pPr>
        <w:pStyle w:val="Heading2"/>
        <w:keepNext/>
        <w:spacing w:before="140" w:after="100"/>
      </w:pPr>
      <w:r>
        <w:rPr>
          <w:rFonts w:ascii="DejaVu Sans" w:hAnsi="DejaVu Sans"/>
          <w:b/>
          <w:color w:val="000000"/>
          <w:sz w:val="26"/>
        </w:rPr>
        <w:t>Approved Arrangements</w:t>
      </w:r>
    </w:p>
    <w:p>
      <w:pPr>
        <w:pStyle w:val="ListBullet"/>
        <w:spacing w:before="0" w:after="60" w:line="259" w:lineRule="auto"/>
      </w:pPr>
      <w:r>
        <w:rPr>
          <w:rFonts w:ascii="DejaVu Sans" w:hAnsi="DejaVu Sans"/>
          <w:color w:val="111111"/>
          <w:sz w:val="20"/>
        </w:rPr>
        <w:t>Primary mark: S&amp;B with one microphone above and one below, following the card.</w:t>
      </w:r>
    </w:p>
    <w:p>
      <w:pPr>
        <w:pStyle w:val="ListBullet"/>
        <w:spacing w:before="0" w:after="60" w:line="259" w:lineRule="auto"/>
      </w:pPr>
      <w:r>
        <w:rPr>
          <w:rFonts w:ascii="DejaVu Sans" w:hAnsi="DejaVu Sans"/>
          <w:color w:val="111111"/>
          <w:sz w:val="20"/>
        </w:rPr>
        <w:t>Horizontal lockup: microphones facing inward toward S&amp;B, with SARAH &amp; THE BUDS beneath.</w:t>
      </w:r>
    </w:p>
    <w:p>
      <w:pPr>
        <w:pStyle w:val="ListBullet"/>
        <w:spacing w:before="0" w:after="60" w:line="259" w:lineRule="auto"/>
      </w:pPr>
      <w:r>
        <w:rPr>
          <w:rFonts w:ascii="DejaVu Sans" w:hAnsi="DejaVu Sans"/>
          <w:color w:val="111111"/>
          <w:sz w:val="20"/>
        </w:rPr>
        <w:t>Compact mark: S&amp;B alone when the complete name is visible nearby.</w:t>
      </w:r>
    </w:p>
    <w:p>
      <w:pPr>
        <w:pStyle w:val="ListBullet"/>
        <w:spacing w:before="0" w:after="60" w:line="259" w:lineRule="auto"/>
      </w:pPr>
      <w:r>
        <w:rPr>
          <w:rFonts w:ascii="DejaVu Sans" w:hAnsi="DejaVu Sans"/>
          <w:color w:val="111111"/>
          <w:sz w:val="20"/>
        </w:rPr>
        <w:t>One-color use: warm white on black or black on warm white.</w:t>
      </w:r>
    </w:p>
    <w:p>
      <w:pPr>
        <w:pStyle w:val="Heading2"/>
        <w:keepNext/>
        <w:spacing w:before="140" w:after="100"/>
      </w:pPr>
      <w:r>
        <w:rPr>
          <w:rFonts w:ascii="DejaVu Sans" w:hAnsi="DejaVu Sans"/>
          <w:b/>
          <w:color w:val="000000"/>
          <w:sz w:val="26"/>
        </w:rPr>
        <w:t>Clear Space and Minimum Size</w:t>
      </w:r>
    </w:p>
    <w:p>
      <w:pPr>
        <w:spacing w:before="0" w:after="140" w:line="269" w:lineRule="auto"/>
      </w:pPr>
      <w:r>
        <w:rPr>
          <w:rFonts w:ascii="DejaVu Sans" w:hAnsi="DejaVu Sans"/>
          <w:color w:val="111111"/>
          <w:sz w:val="21"/>
        </w:rPr>
        <w:t>Leave clear space around the logo equal to at least the height of the ampersand. Do not use the complete lockup smaller than 180 pixels wide on screen or 1.5 inches wide in print. At smaller sizes, use the S&amp;B mark without the microphones.</w:t>
      </w:r>
    </w:p>
    <w:p>
      <w:pPr>
        <w:pStyle w:val="Heading2"/>
        <w:keepNext/>
        <w:spacing w:before="140" w:after="100"/>
      </w:pPr>
      <w:r>
        <w:rPr>
          <w:rFonts w:ascii="DejaVu Sans" w:hAnsi="DejaVu Sans"/>
          <w:b/>
          <w:color w:val="000000"/>
          <w:sz w:val="26"/>
        </w:rPr>
        <w:t>Do Not</w:t>
      </w:r>
    </w:p>
    <w:p>
      <w:pPr>
        <w:pStyle w:val="ListBullet"/>
        <w:spacing w:before="0" w:after="60" w:line="259" w:lineRule="auto"/>
      </w:pPr>
      <w:r>
        <w:rPr>
          <w:rFonts w:ascii="DejaVu Sans" w:hAnsi="DejaVu Sans"/>
          <w:color w:val="111111"/>
          <w:sz w:val="20"/>
        </w:rPr>
        <w:t>Stretch, rotate, outline, shadow, or distort the logo.</w:t>
      </w:r>
    </w:p>
    <w:p>
      <w:pPr>
        <w:pStyle w:val="ListBullet"/>
        <w:spacing w:before="0" w:after="60" w:line="259" w:lineRule="auto"/>
      </w:pPr>
      <w:r>
        <w:rPr>
          <w:rFonts w:ascii="DejaVu Sans" w:hAnsi="DejaVu Sans"/>
          <w:color w:val="111111"/>
          <w:sz w:val="20"/>
        </w:rPr>
        <w:t>Retype S&amp;B in a decorative font and present it as the logo.</w:t>
      </w:r>
    </w:p>
    <w:p>
      <w:pPr>
        <w:pStyle w:val="ListBullet"/>
        <w:spacing w:before="0" w:after="60" w:line="259" w:lineRule="auto"/>
      </w:pPr>
      <w:r>
        <w:rPr>
          <w:rFonts w:ascii="DejaVu Sans" w:hAnsi="DejaVu Sans"/>
          <w:color w:val="111111"/>
          <w:sz w:val="20"/>
        </w:rPr>
        <w:t>Place the white mark over a busy or light part of a photograph.</w:t>
      </w:r>
    </w:p>
    <w:p>
      <w:pPr>
        <w:pStyle w:val="ListBullet"/>
        <w:spacing w:before="0" w:after="60" w:line="259" w:lineRule="auto"/>
      </w:pPr>
      <w:r>
        <w:rPr>
          <w:rFonts w:ascii="DejaVu Sans" w:hAnsi="DejaVu Sans"/>
          <w:color w:val="111111"/>
          <w:sz w:val="20"/>
        </w:rPr>
        <w:t>Add music notes, badges, stage lights, or other decoration around the mark.</w:t>
      </w:r>
    </w:p>
    <w:p>
      <w:pPr>
        <w:pStyle w:val="ListBullet"/>
        <w:spacing w:before="0" w:after="60" w:line="259" w:lineRule="auto"/>
      </w:pPr>
      <w:r>
        <w:rPr>
          <w:rFonts w:ascii="DejaVu Sans" w:hAnsi="DejaVu Sans"/>
          <w:color w:val="111111"/>
          <w:sz w:val="20"/>
        </w:rPr>
        <w:t>Change the logo color for individual venues or events.</w:t>
      </w:r>
    </w:p>
    <w:p>
      <w:r>
        <w:br w:type="page"/>
      </w:r>
    </w:p>
    <w:p>
      <w:pPr>
        <w:pStyle w:val="Heading1"/>
        <w:keepNext/>
        <w:spacing w:before="200" w:after="100"/>
      </w:pPr>
      <w:r>
        <w:rPr>
          <w:rFonts w:ascii="DejaVu Sans" w:hAnsi="DejaVu Sans"/>
          <w:b/>
          <w:color w:val="000000"/>
          <w:sz w:val="36"/>
        </w:rPr>
        <w:t>Typography</w:t>
      </w:r>
    </w:p>
    <w:p>
      <w:pPr>
        <w:spacing w:before="0" w:after="140" w:line="269" w:lineRule="auto"/>
      </w:pPr>
      <w:r>
        <w:rPr>
          <w:rFonts w:ascii="DejaVu Sans" w:hAnsi="DejaVu Sans"/>
          <w:color w:val="111111"/>
          <w:sz w:val="21"/>
        </w:rPr>
        <w:t>Avenir Next is the official working typeface for Sarah &amp; the Buds. Its rounded, geometric shapes closely match the lettering on the current card and give the brand a friendly, modern voice. The S&amp;B logo remains artwork and is never recreated with Avenir Next or another font.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Role</w:t>
            </w:r>
          </w:p>
        </w:tc>
        <w:tc>
          <w:tcPr>
            <w:tcW w:type="dxa" w:w="2880"/>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Typeface and weight</w:t>
            </w:r>
          </w:p>
        </w:tc>
        <w:tc>
          <w:tcPr>
            <w:tcW w:type="dxa" w:w="4680"/>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Treatment</w:t>
            </w:r>
          </w:p>
        </w:tc>
      </w:tr>
      <w:tr>
        <w:tc>
          <w:tcPr>
            <w:tcW w:type="dxa" w:w="2232"/>
            <w:tcMar>
              <w:top w:w="130" w:type="dxa"/>
              <w:start w:w="140" w:type="dxa"/>
              <w:bottom w:w="130" w:type="dxa"/>
              <w:end w:w="140" w:type="dxa"/>
            </w:tcMar>
            <w:vAlign w:val="center"/>
          </w:tcPr>
          <w:p>
            <w:pPr>
              <w:spacing w:before="0" w:after="0" w:line="250" w:lineRule="auto"/>
            </w:pPr>
            <w:r>
              <w:rPr>
                <w:rFonts w:ascii="DejaVu Sans" w:hAnsi="DejaVu Sans"/>
                <w:color w:val="111111"/>
                <w:sz w:val="18"/>
              </w:rPr>
              <w:t>Major headline</w:t>
            </w:r>
          </w:p>
        </w:tc>
        <w:tc>
          <w:tcPr>
            <w:tcW w:type="dxa" w:w="2880"/>
            <w:tcMar>
              <w:top w:w="130" w:type="dxa"/>
              <w:start w:w="140" w:type="dxa"/>
              <w:bottom w:w="130" w:type="dxa"/>
              <w:end w:w="140" w:type="dxa"/>
            </w:tcMar>
            <w:vAlign w:val="center"/>
          </w:tcPr>
          <w:p>
            <w:pPr>
              <w:spacing w:before="0" w:after="0" w:line="250" w:lineRule="auto"/>
            </w:pPr>
            <w:r>
              <w:rPr>
                <w:rFonts w:ascii="DejaVu Sans" w:hAnsi="DejaVu Sans"/>
                <w:color w:val="111111"/>
                <w:sz w:val="18"/>
              </w:rPr>
              <w:t>Avenir Next Heavy</w:t>
            </w:r>
          </w:p>
        </w:tc>
        <w:tc>
          <w:tcPr>
            <w:tcW w:type="dxa" w:w="4680"/>
            <w:tcMar>
              <w:top w:w="130" w:type="dxa"/>
              <w:start w:w="140" w:type="dxa"/>
              <w:bottom w:w="130" w:type="dxa"/>
              <w:end w:w="140" w:type="dxa"/>
            </w:tcMar>
            <w:vAlign w:val="center"/>
          </w:tcPr>
          <w:p>
            <w:pPr>
              <w:spacing w:before="0" w:after="0" w:line="250" w:lineRule="auto"/>
            </w:pPr>
            <w:r>
              <w:rPr>
                <w:rFonts w:ascii="DejaVu Sans" w:hAnsi="DejaVu Sans"/>
                <w:color w:val="111111"/>
                <w:sz w:val="18"/>
              </w:rPr>
              <w:t>Uppercase; large; tight but comfortable spacing</w:t>
            </w:r>
          </w:p>
        </w:tc>
      </w:tr>
      <w:tr>
        <w:tc>
          <w:tcPr>
            <w:tcW w:type="dxa" w:w="2232"/>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Dates and key facts</w:t>
            </w:r>
          </w:p>
        </w:tc>
        <w:tc>
          <w:tcPr>
            <w:tcW w:type="dxa" w:w="28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Avenir Next Demi Bold</w:t>
            </w:r>
          </w:p>
        </w:tc>
        <w:tc>
          <w:tcPr>
            <w:tcW w:type="dxa" w:w="46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Uppercase; high contrast; easy to scan</w:t>
            </w:r>
          </w:p>
        </w:tc>
      </w:tr>
      <w:tr>
        <w:tc>
          <w:tcPr>
            <w:tcW w:type="dxa" w:w="2232"/>
            <w:tcMar>
              <w:top w:w="130" w:type="dxa"/>
              <w:start w:w="140" w:type="dxa"/>
              <w:bottom w:w="130" w:type="dxa"/>
              <w:end w:w="140" w:type="dxa"/>
            </w:tcMar>
            <w:vAlign w:val="center"/>
          </w:tcPr>
          <w:p>
            <w:pPr>
              <w:spacing w:before="0" w:after="0" w:line="250" w:lineRule="auto"/>
            </w:pPr>
            <w:r>
              <w:rPr>
                <w:rFonts w:ascii="DejaVu Sans" w:hAnsi="DejaVu Sans"/>
                <w:color w:val="111111"/>
                <w:sz w:val="18"/>
              </w:rPr>
              <w:t>Act name</w:t>
            </w:r>
          </w:p>
        </w:tc>
        <w:tc>
          <w:tcPr>
            <w:tcW w:type="dxa" w:w="2880"/>
            <w:tcMar>
              <w:top w:w="130" w:type="dxa"/>
              <w:start w:w="140" w:type="dxa"/>
              <w:bottom w:w="130" w:type="dxa"/>
              <w:end w:w="140" w:type="dxa"/>
            </w:tcMar>
            <w:vAlign w:val="center"/>
          </w:tcPr>
          <w:p>
            <w:pPr>
              <w:spacing w:before="0" w:after="0" w:line="250" w:lineRule="auto"/>
            </w:pPr>
            <w:r>
              <w:rPr>
                <w:rFonts w:ascii="DejaVu Sans" w:hAnsi="DejaVu Sans"/>
                <w:color w:val="111111"/>
                <w:sz w:val="18"/>
              </w:rPr>
              <w:t>Avenir Next Medium</w:t>
            </w:r>
          </w:p>
        </w:tc>
        <w:tc>
          <w:tcPr>
            <w:tcW w:type="dxa" w:w="4680"/>
            <w:tcMar>
              <w:top w:w="130" w:type="dxa"/>
              <w:start w:w="140" w:type="dxa"/>
              <w:bottom w:w="130" w:type="dxa"/>
              <w:end w:w="140" w:type="dxa"/>
            </w:tcMar>
            <w:vAlign w:val="center"/>
          </w:tcPr>
          <w:p>
            <w:pPr>
              <w:spacing w:before="0" w:after="0" w:line="250" w:lineRule="auto"/>
            </w:pPr>
            <w:r>
              <w:rPr>
                <w:rFonts w:ascii="DejaVu Sans" w:hAnsi="DejaVu Sans"/>
                <w:color w:val="111111"/>
                <w:sz w:val="18"/>
              </w:rPr>
              <w:t>Uppercase; generous letter spacing</w:t>
            </w:r>
          </w:p>
        </w:tc>
      </w:tr>
      <w:tr>
        <w:tc>
          <w:tcPr>
            <w:tcW w:type="dxa" w:w="2232"/>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Body and captions</w:t>
            </w:r>
          </w:p>
        </w:tc>
        <w:tc>
          <w:tcPr>
            <w:tcW w:type="dxa" w:w="28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Avenir Next Regular</w:t>
            </w:r>
          </w:p>
        </w:tc>
        <w:tc>
          <w:tcPr>
            <w:tcW w:type="dxa" w:w="46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Sentence case; open line spacing</w:t>
            </w:r>
          </w:p>
        </w:tc>
      </w:tr>
      <w:tr>
        <w:tc>
          <w:tcPr>
            <w:tcW w:type="dxa" w:w="2232"/>
            <w:tcMar>
              <w:top w:w="130" w:type="dxa"/>
              <w:start w:w="140" w:type="dxa"/>
              <w:bottom w:w="130" w:type="dxa"/>
              <w:end w:w="140" w:type="dxa"/>
            </w:tcMar>
            <w:vAlign w:val="center"/>
          </w:tcPr>
          <w:p>
            <w:pPr>
              <w:spacing w:before="0" w:after="0" w:line="250" w:lineRule="auto"/>
            </w:pPr>
            <w:r>
              <w:rPr>
                <w:rFonts w:ascii="DejaVu Sans" w:hAnsi="DejaVu Sans"/>
                <w:color w:val="111111"/>
                <w:sz w:val="18"/>
              </w:rPr>
              <w:t>Free digital substitute</w:t>
            </w:r>
          </w:p>
        </w:tc>
        <w:tc>
          <w:tcPr>
            <w:tcW w:type="dxa" w:w="2880"/>
            <w:tcMar>
              <w:top w:w="130" w:type="dxa"/>
              <w:start w:w="140" w:type="dxa"/>
              <w:bottom w:w="130" w:type="dxa"/>
              <w:end w:w="140" w:type="dxa"/>
            </w:tcMar>
            <w:vAlign w:val="center"/>
          </w:tcPr>
          <w:p>
            <w:pPr>
              <w:spacing w:before="0" w:after="0" w:line="250" w:lineRule="auto"/>
            </w:pPr>
            <w:r>
              <w:rPr>
                <w:rFonts w:ascii="DejaVu Sans" w:hAnsi="DejaVu Sans"/>
                <w:color w:val="111111"/>
                <w:sz w:val="18"/>
              </w:rPr>
              <w:t>Montserrat</w:t>
            </w:r>
          </w:p>
        </w:tc>
        <w:tc>
          <w:tcPr>
            <w:tcW w:type="dxa" w:w="4680"/>
            <w:tcMar>
              <w:top w:w="130" w:type="dxa"/>
              <w:start w:w="140" w:type="dxa"/>
              <w:bottom w:w="130" w:type="dxa"/>
              <w:end w:w="140" w:type="dxa"/>
            </w:tcMar>
            <w:vAlign w:val="center"/>
          </w:tcPr>
          <w:p>
            <w:pPr>
              <w:spacing w:before="0" w:after="0" w:line="250" w:lineRule="auto"/>
            </w:pPr>
            <w:r>
              <w:rPr>
                <w:rFonts w:ascii="DejaVu Sans" w:hAnsi="DejaVu Sans"/>
                <w:color w:val="111111"/>
                <w:sz w:val="18"/>
              </w:rPr>
              <w:t>Use equivalent weights when Avenir Next is unavailable</w:t>
            </w:r>
          </w:p>
        </w:tc>
      </w:tr>
      <w:tr>
        <w:tc>
          <w:tcPr>
            <w:tcW w:type="dxa" w:w="2232"/>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Office fallback</w:t>
            </w:r>
          </w:p>
        </w:tc>
        <w:tc>
          <w:tcPr>
            <w:tcW w:type="dxa" w:w="28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Arial</w:t>
            </w:r>
          </w:p>
        </w:tc>
        <w:tc>
          <w:tcPr>
            <w:tcW w:type="dxa" w:w="4680"/>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Use only when neither preferred family is available</w:t>
            </w:r>
          </w:p>
        </w:tc>
      </w:tr>
    </w:tbl>
    <w:p>
      <w:pPr>
        <w:spacing w:before="0" w:after="20" w:line="259" w:lineRule="auto"/>
      </w:pPr>
    </w:p>
    <w:p>
      <w:pPr>
        <w:spacing w:before="160" w:after="60" w:line="259" w:lineRule="auto"/>
        <w:jc w:val="center"/>
      </w:pPr>
      <w:r>
        <w:rPr>
          <w:rFonts w:ascii="DejaVu Sans" w:hAnsi="DejaVu Sans"/>
          <w:b/>
          <w:color w:val="111111"/>
          <w:sz w:val="56"/>
        </w:rPr>
        <w:t>UPCOMING SHOWS</w:t>
      </w:r>
    </w:p>
    <w:p>
      <w:pPr>
        <w:spacing w:before="0" w:after="60" w:line="259" w:lineRule="auto"/>
        <w:jc w:val="center"/>
      </w:pPr>
      <w:r>
        <w:rPr>
          <w:rFonts w:ascii="DejaVu Sans" w:hAnsi="DejaVu Sans"/>
          <w:b w:val="0"/>
          <w:color w:val="111111"/>
          <w:sz w:val="32"/>
        </w:rPr>
        <w:t>SARAH &amp; THE BUDS</w:t>
      </w:r>
    </w:p>
    <w:p>
      <w:pPr>
        <w:spacing w:before="0" w:after="200" w:line="259" w:lineRule="auto"/>
        <w:jc w:val="center"/>
      </w:pPr>
      <w:r>
        <w:rPr>
          <w:rFonts w:ascii="DejaVu Sans" w:hAnsi="DejaVu Sans"/>
          <w:b/>
          <w:color w:val="111111"/>
          <w:sz w:val="22"/>
        </w:rPr>
        <w:t>OCTOBER 23  |  SHAKER VILLAGE  |  4:30-6:30 PM</w:t>
      </w:r>
    </w:p>
    <w:p>
      <w:pPr>
        <w:pStyle w:val="Heading2"/>
        <w:keepNext/>
        <w:spacing w:before="140" w:after="100"/>
      </w:pPr>
      <w:r>
        <w:rPr>
          <w:rFonts w:ascii="DejaVu Sans" w:hAnsi="DejaVu Sans"/>
          <w:b/>
          <w:color w:val="000000"/>
          <w:sz w:val="26"/>
        </w:rPr>
        <w:t>Type Rules</w:t>
      </w:r>
    </w:p>
    <w:p>
      <w:pPr>
        <w:pStyle w:val="ListBullet"/>
        <w:spacing w:before="0" w:after="60" w:line="259" w:lineRule="auto"/>
      </w:pPr>
      <w:r>
        <w:rPr>
          <w:rFonts w:ascii="DejaVu Sans" w:hAnsi="DejaVu Sans"/>
          <w:color w:val="111111"/>
          <w:sz w:val="20"/>
        </w:rPr>
        <w:t>Use no more than one type family plus the S&amp;B logo artwork in a design.</w:t>
      </w:r>
    </w:p>
    <w:p>
      <w:pPr>
        <w:pStyle w:val="ListBullet"/>
        <w:spacing w:before="0" w:after="60" w:line="259" w:lineRule="auto"/>
      </w:pPr>
      <w:r>
        <w:rPr>
          <w:rFonts w:ascii="DejaVu Sans" w:hAnsi="DejaVu Sans"/>
          <w:color w:val="111111"/>
          <w:sz w:val="20"/>
        </w:rPr>
        <w:t>Keep show information readable without zooming on a phone.</w:t>
      </w:r>
    </w:p>
    <w:p>
      <w:pPr>
        <w:pStyle w:val="ListBullet"/>
        <w:spacing w:before="0" w:after="60" w:line="259" w:lineRule="auto"/>
      </w:pPr>
      <w:r>
        <w:rPr>
          <w:rFonts w:ascii="DejaVu Sans" w:hAnsi="DejaVu Sans"/>
          <w:color w:val="111111"/>
          <w:sz w:val="20"/>
        </w:rPr>
        <w:t>Use an en dash for time ranges when supported: 1-3 PM may be typed as 1–3 PM in final artwork.</w:t>
      </w:r>
    </w:p>
    <w:p>
      <w:pPr>
        <w:pStyle w:val="ListBullet"/>
        <w:spacing w:before="0" w:after="60" w:line="259" w:lineRule="auto"/>
      </w:pPr>
      <w:r>
        <w:rPr>
          <w:rFonts w:ascii="DejaVu Sans" w:hAnsi="DejaVu Sans"/>
          <w:color w:val="111111"/>
          <w:sz w:val="20"/>
        </w:rPr>
        <w:t>Keep AM and PM uppercase and include a space before them.</w:t>
      </w:r>
    </w:p>
    <w:p>
      <w:pPr>
        <w:pStyle w:val="ListBullet"/>
        <w:spacing w:before="0" w:after="60" w:line="259" w:lineRule="auto"/>
      </w:pPr>
      <w:r>
        <w:rPr>
          <w:rFonts w:ascii="DejaVu Sans" w:hAnsi="DejaVu Sans"/>
          <w:color w:val="111111"/>
          <w:sz w:val="20"/>
        </w:rPr>
        <w:t>Avoid script, Western, condensed novelty, grunge, and distressed typefaces.</w:t>
      </w:r>
    </w:p>
    <w:p>
      <w:pPr>
        <w:spacing w:before="0" w:after="180" w:line="259" w:lineRule="auto"/>
        <w:jc w:val="center"/>
      </w:pPr>
      <w:r>
        <w:rPr>
          <w:rFonts w:ascii="DejaVu Sans" w:hAnsi="DejaVu Sans"/>
          <w:i/>
          <w:color w:val="555555"/>
          <w:sz w:val="17"/>
        </w:rPr>
        <w:t>The document preview uses a portable sans serif. Production artwork should use Avenir Next or Montserrat as specified above.</w:t>
      </w:r>
    </w:p>
    <w:p>
      <w:r>
        <w:br w:type="page"/>
      </w:r>
    </w:p>
    <w:p>
      <w:pPr>
        <w:pStyle w:val="Heading1"/>
        <w:keepNext/>
        <w:spacing w:before="200" w:after="100"/>
      </w:pPr>
      <w:r>
        <w:rPr>
          <w:rFonts w:ascii="DejaVu Sans" w:hAnsi="DejaVu Sans"/>
          <w:b/>
          <w:color w:val="000000"/>
          <w:sz w:val="36"/>
        </w:rPr>
        <w:t>Color Palette</w:t>
      </w:r>
    </w:p>
    <w:p>
      <w:pPr>
        <w:spacing w:before="0" w:after="140" w:line="269" w:lineRule="auto"/>
      </w:pPr>
      <w:r>
        <w:rPr>
          <w:rFonts w:ascii="DejaVu Sans" w:hAnsi="DejaVu Sans"/>
          <w:color w:val="111111"/>
          <w:sz w:val="21"/>
        </w:rPr>
        <w:t>The identity is intentionally monochrome. Black and warm white should carry nearly every branded piece. Full-color photography can appear inside this framework without changing the brand colors.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541"/>
            <w:shd w:fill="2A2A2A"/>
            <w:tcMar>
              <w:top w:w="130" w:type="dxa"/>
              <w:start w:w="140" w:type="dxa"/>
              <w:bottom w:w="130" w:type="dxa"/>
              <w:end w:w="140" w:type="dxa"/>
            </w:tcMar>
          </w:tcPr>
          <w:p>
            <w:r>
              <w:rPr>
                <w:rFonts w:ascii="DejaVu Sans" w:hAnsi="DejaVu Sans"/>
                <w:b/>
                <w:color w:val="FFFFFF"/>
                <w:sz w:val="18"/>
              </w:rPr>
              <w:t>Color</w:t>
            </w:r>
          </w:p>
        </w:tc>
        <w:tc>
          <w:tcPr>
            <w:tcW w:type="dxa" w:w="2541"/>
            <w:shd w:fill="2A2A2A"/>
            <w:tcMar>
              <w:top w:w="130" w:type="dxa"/>
              <w:start w:w="140" w:type="dxa"/>
              <w:bottom w:w="130" w:type="dxa"/>
              <w:end w:w="140" w:type="dxa"/>
            </w:tcMar>
          </w:tcPr>
          <w:p>
            <w:r>
              <w:rPr>
                <w:rFonts w:ascii="DejaVu Sans" w:hAnsi="DejaVu Sans"/>
                <w:b/>
                <w:color w:val="FFFFFF"/>
                <w:sz w:val="18"/>
              </w:rPr>
              <w:t>Hex</w:t>
            </w:r>
          </w:p>
        </w:tc>
        <w:tc>
          <w:tcPr>
            <w:tcW w:type="dxa" w:w="2541"/>
            <w:shd w:fill="2A2A2A"/>
            <w:tcMar>
              <w:top w:w="130" w:type="dxa"/>
              <w:start w:w="140" w:type="dxa"/>
              <w:bottom w:w="130" w:type="dxa"/>
              <w:end w:w="140" w:type="dxa"/>
            </w:tcMar>
          </w:tcPr>
          <w:p>
            <w:r>
              <w:rPr>
                <w:rFonts w:ascii="DejaVu Sans" w:hAnsi="DejaVu Sans"/>
                <w:b/>
                <w:color w:val="FFFFFF"/>
                <w:sz w:val="18"/>
              </w:rPr>
              <w:t>RGB</w:t>
            </w:r>
          </w:p>
        </w:tc>
        <w:tc>
          <w:tcPr>
            <w:tcW w:type="dxa" w:w="2541"/>
            <w:shd w:fill="2A2A2A"/>
            <w:tcMar>
              <w:top w:w="130" w:type="dxa"/>
              <w:start w:w="140" w:type="dxa"/>
              <w:bottom w:w="130" w:type="dxa"/>
              <w:end w:w="140" w:type="dxa"/>
            </w:tcMar>
          </w:tcPr>
          <w:p>
            <w:r>
              <w:rPr>
                <w:rFonts w:ascii="DejaVu Sans" w:hAnsi="DejaVu Sans"/>
                <w:b/>
                <w:color w:val="FFFFFF"/>
                <w:sz w:val="18"/>
              </w:rPr>
              <w:t>Primary use</w:t>
            </w:r>
          </w:p>
        </w:tc>
      </w:tr>
      <w:tr>
        <w:tc>
          <w:tcPr>
            <w:tcW w:type="dxa" w:w="2541"/>
            <w:shd w:fill="111111"/>
            <w:tcMar>
              <w:top w:w="180" w:type="dxa"/>
              <w:start w:w="140" w:type="dxa"/>
              <w:bottom w:w="180" w:type="dxa"/>
              <w:end w:w="140" w:type="dxa"/>
            </w:tcMar>
            <w:vAlign w:val="center"/>
          </w:tcPr>
          <w:p>
            <w:r>
              <w:rPr>
                <w:rFonts w:ascii="DejaVu Sans" w:hAnsi="DejaVu Sans"/>
                <w:b/>
                <w:color w:val="FFFFFF"/>
                <w:sz w:val="18"/>
              </w:rPr>
              <w:t>Stage Black</w:t>
            </w:r>
          </w:p>
        </w:tc>
        <w:tc>
          <w:tcPr>
            <w:tcW w:type="dxa" w:w="2541"/>
            <w:tcMar>
              <w:top w:w="180" w:type="dxa"/>
              <w:start w:w="140" w:type="dxa"/>
              <w:bottom w:w="180" w:type="dxa"/>
              <w:end w:w="140" w:type="dxa"/>
            </w:tcMar>
            <w:vAlign w:val="center"/>
          </w:tcPr>
          <w:p>
            <w:r>
              <w:rPr>
                <w:rFonts w:ascii="DejaVu Sans" w:hAnsi="DejaVu Sans"/>
                <w:color w:val="111111"/>
                <w:sz w:val="18"/>
              </w:rPr>
              <w:t>#111111</w:t>
            </w:r>
          </w:p>
        </w:tc>
        <w:tc>
          <w:tcPr>
            <w:tcW w:type="dxa" w:w="2541"/>
            <w:tcMar>
              <w:top w:w="180" w:type="dxa"/>
              <w:start w:w="140" w:type="dxa"/>
              <w:bottom w:w="180" w:type="dxa"/>
              <w:end w:w="140" w:type="dxa"/>
            </w:tcMar>
            <w:vAlign w:val="center"/>
          </w:tcPr>
          <w:p>
            <w:r>
              <w:rPr>
                <w:rFonts w:ascii="DejaVu Sans" w:hAnsi="DejaVu Sans"/>
                <w:color w:val="111111"/>
                <w:sz w:val="18"/>
              </w:rPr>
              <w:t>17, 17, 17</w:t>
            </w:r>
          </w:p>
        </w:tc>
        <w:tc>
          <w:tcPr>
            <w:tcW w:type="dxa" w:w="2541"/>
            <w:tcMar>
              <w:top w:w="180" w:type="dxa"/>
              <w:start w:w="140" w:type="dxa"/>
              <w:bottom w:w="180" w:type="dxa"/>
              <w:end w:w="140" w:type="dxa"/>
            </w:tcMar>
            <w:vAlign w:val="center"/>
          </w:tcPr>
          <w:p>
            <w:r>
              <w:rPr>
                <w:rFonts w:ascii="DejaVu Sans" w:hAnsi="DejaVu Sans"/>
                <w:color w:val="111111"/>
                <w:sz w:val="18"/>
              </w:rPr>
              <w:t>Primary backgrounds</w:t>
            </w:r>
          </w:p>
        </w:tc>
      </w:tr>
      <w:tr>
        <w:tc>
          <w:tcPr>
            <w:tcW w:type="dxa" w:w="2541"/>
            <w:shd w:fill="F5F2EA"/>
            <w:tcMar>
              <w:top w:w="180" w:type="dxa"/>
              <w:start w:w="140" w:type="dxa"/>
              <w:bottom w:w="180" w:type="dxa"/>
              <w:end w:w="140" w:type="dxa"/>
            </w:tcMar>
            <w:vAlign w:val="center"/>
          </w:tcPr>
          <w:p>
            <w:r>
              <w:rPr>
                <w:rFonts w:ascii="DejaVu Sans" w:hAnsi="DejaVu Sans"/>
                <w:b/>
                <w:color w:val="111111"/>
                <w:sz w:val="18"/>
              </w:rPr>
              <w:t>Warm White</w:t>
            </w:r>
          </w:p>
        </w:tc>
        <w:tc>
          <w:tcPr>
            <w:tcW w:type="dxa" w:w="2541"/>
            <w:tcMar>
              <w:top w:w="180" w:type="dxa"/>
              <w:start w:w="140" w:type="dxa"/>
              <w:bottom w:w="180" w:type="dxa"/>
              <w:end w:w="140" w:type="dxa"/>
            </w:tcMar>
            <w:vAlign w:val="center"/>
          </w:tcPr>
          <w:p>
            <w:r>
              <w:rPr>
                <w:rFonts w:ascii="DejaVu Sans" w:hAnsi="DejaVu Sans"/>
                <w:color w:val="111111"/>
                <w:sz w:val="18"/>
              </w:rPr>
              <w:t>#F5F2EA</w:t>
            </w:r>
          </w:p>
        </w:tc>
        <w:tc>
          <w:tcPr>
            <w:tcW w:type="dxa" w:w="2541"/>
            <w:tcMar>
              <w:top w:w="180" w:type="dxa"/>
              <w:start w:w="140" w:type="dxa"/>
              <w:bottom w:w="180" w:type="dxa"/>
              <w:end w:w="140" w:type="dxa"/>
            </w:tcMar>
            <w:vAlign w:val="center"/>
          </w:tcPr>
          <w:p>
            <w:r>
              <w:rPr>
                <w:rFonts w:ascii="DejaVu Sans" w:hAnsi="DejaVu Sans"/>
                <w:color w:val="111111"/>
                <w:sz w:val="18"/>
              </w:rPr>
              <w:t>245, 242, 234</w:t>
            </w:r>
          </w:p>
        </w:tc>
        <w:tc>
          <w:tcPr>
            <w:tcW w:type="dxa" w:w="2541"/>
            <w:tcMar>
              <w:top w:w="180" w:type="dxa"/>
              <w:start w:w="140" w:type="dxa"/>
              <w:bottom w:w="180" w:type="dxa"/>
              <w:end w:w="140" w:type="dxa"/>
            </w:tcMar>
            <w:vAlign w:val="center"/>
          </w:tcPr>
          <w:p>
            <w:r>
              <w:rPr>
                <w:rFonts w:ascii="DejaVu Sans" w:hAnsi="DejaVu Sans"/>
                <w:color w:val="111111"/>
                <w:sz w:val="18"/>
              </w:rPr>
              <w:t>Logo, headlines, and icons</w:t>
            </w:r>
          </w:p>
        </w:tc>
      </w:tr>
      <w:tr>
        <w:tc>
          <w:tcPr>
            <w:tcW w:type="dxa" w:w="2541"/>
            <w:shd w:fill="2A2A2A"/>
            <w:tcMar>
              <w:top w:w="180" w:type="dxa"/>
              <w:start w:w="140" w:type="dxa"/>
              <w:bottom w:w="180" w:type="dxa"/>
              <w:end w:w="140" w:type="dxa"/>
            </w:tcMar>
            <w:vAlign w:val="center"/>
          </w:tcPr>
          <w:p>
            <w:r>
              <w:rPr>
                <w:rFonts w:ascii="DejaVu Sans" w:hAnsi="DejaVu Sans"/>
                <w:b/>
                <w:color w:val="FFFFFF"/>
                <w:sz w:val="18"/>
              </w:rPr>
              <w:t>Soft Charcoal</w:t>
            </w:r>
          </w:p>
        </w:tc>
        <w:tc>
          <w:tcPr>
            <w:tcW w:type="dxa" w:w="2541"/>
            <w:tcMar>
              <w:top w:w="180" w:type="dxa"/>
              <w:start w:w="140" w:type="dxa"/>
              <w:bottom w:w="180" w:type="dxa"/>
              <w:end w:w="140" w:type="dxa"/>
            </w:tcMar>
            <w:vAlign w:val="center"/>
          </w:tcPr>
          <w:p>
            <w:r>
              <w:rPr>
                <w:rFonts w:ascii="DejaVu Sans" w:hAnsi="DejaVu Sans"/>
                <w:color w:val="111111"/>
                <w:sz w:val="18"/>
              </w:rPr>
              <w:t>#2A2A2A</w:t>
            </w:r>
          </w:p>
        </w:tc>
        <w:tc>
          <w:tcPr>
            <w:tcW w:type="dxa" w:w="2541"/>
            <w:tcMar>
              <w:top w:w="180" w:type="dxa"/>
              <w:start w:w="140" w:type="dxa"/>
              <w:bottom w:w="180" w:type="dxa"/>
              <w:end w:w="140" w:type="dxa"/>
            </w:tcMar>
            <w:vAlign w:val="center"/>
          </w:tcPr>
          <w:p>
            <w:r>
              <w:rPr>
                <w:rFonts w:ascii="DejaVu Sans" w:hAnsi="DejaVu Sans"/>
                <w:color w:val="111111"/>
                <w:sz w:val="18"/>
              </w:rPr>
              <w:t>42, 42, 42</w:t>
            </w:r>
          </w:p>
        </w:tc>
        <w:tc>
          <w:tcPr>
            <w:tcW w:type="dxa" w:w="2541"/>
            <w:tcMar>
              <w:top w:w="180" w:type="dxa"/>
              <w:start w:w="140" w:type="dxa"/>
              <w:bottom w:w="180" w:type="dxa"/>
              <w:end w:w="140" w:type="dxa"/>
            </w:tcMar>
            <w:vAlign w:val="center"/>
          </w:tcPr>
          <w:p>
            <w:r>
              <w:rPr>
                <w:rFonts w:ascii="DejaVu Sans" w:hAnsi="DejaVu Sans"/>
                <w:color w:val="111111"/>
                <w:sz w:val="18"/>
              </w:rPr>
              <w:t>Secondary backgrounds</w:t>
            </w:r>
          </w:p>
        </w:tc>
      </w:tr>
      <w:tr>
        <w:tc>
          <w:tcPr>
            <w:tcW w:type="dxa" w:w="2541"/>
            <w:shd w:fill="D8D5CE"/>
            <w:tcMar>
              <w:top w:w="180" w:type="dxa"/>
              <w:start w:w="140" w:type="dxa"/>
              <w:bottom w:w="180" w:type="dxa"/>
              <w:end w:w="140" w:type="dxa"/>
            </w:tcMar>
            <w:vAlign w:val="center"/>
          </w:tcPr>
          <w:p>
            <w:r>
              <w:rPr>
                <w:rFonts w:ascii="DejaVu Sans" w:hAnsi="DejaVu Sans"/>
                <w:b/>
                <w:color w:val="111111"/>
                <w:sz w:val="18"/>
              </w:rPr>
              <w:t>Paper Gray</w:t>
            </w:r>
          </w:p>
        </w:tc>
        <w:tc>
          <w:tcPr>
            <w:tcW w:type="dxa" w:w="2541"/>
            <w:tcMar>
              <w:top w:w="180" w:type="dxa"/>
              <w:start w:w="140" w:type="dxa"/>
              <w:bottom w:w="180" w:type="dxa"/>
              <w:end w:w="140" w:type="dxa"/>
            </w:tcMar>
            <w:vAlign w:val="center"/>
          </w:tcPr>
          <w:p>
            <w:r>
              <w:rPr>
                <w:rFonts w:ascii="DejaVu Sans" w:hAnsi="DejaVu Sans"/>
                <w:color w:val="111111"/>
                <w:sz w:val="18"/>
              </w:rPr>
              <w:t>#D8D5CE</w:t>
            </w:r>
          </w:p>
        </w:tc>
        <w:tc>
          <w:tcPr>
            <w:tcW w:type="dxa" w:w="2541"/>
            <w:tcMar>
              <w:top w:w="180" w:type="dxa"/>
              <w:start w:w="140" w:type="dxa"/>
              <w:bottom w:w="180" w:type="dxa"/>
              <w:end w:w="140" w:type="dxa"/>
            </w:tcMar>
            <w:vAlign w:val="center"/>
          </w:tcPr>
          <w:p>
            <w:r>
              <w:rPr>
                <w:rFonts w:ascii="DejaVu Sans" w:hAnsi="DejaVu Sans"/>
                <w:color w:val="111111"/>
                <w:sz w:val="18"/>
              </w:rPr>
              <w:t>216, 213, 206</w:t>
            </w:r>
          </w:p>
        </w:tc>
        <w:tc>
          <w:tcPr>
            <w:tcW w:type="dxa" w:w="2541"/>
            <w:tcMar>
              <w:top w:w="180" w:type="dxa"/>
              <w:start w:w="140" w:type="dxa"/>
              <w:bottom w:w="180" w:type="dxa"/>
              <w:end w:w="140" w:type="dxa"/>
            </w:tcMar>
            <w:vAlign w:val="center"/>
          </w:tcPr>
          <w:p>
            <w:r>
              <w:rPr>
                <w:rFonts w:ascii="DejaVu Sans" w:hAnsi="DejaVu Sans"/>
                <w:color w:val="111111"/>
                <w:sz w:val="18"/>
              </w:rPr>
              <w:t>Dividers and secondary details</w:t>
            </w:r>
          </w:p>
        </w:tc>
      </w:tr>
      <w:tr>
        <w:tc>
          <w:tcPr>
            <w:tcW w:type="dxa" w:w="2541"/>
            <w:shd w:fill="FFFFFF"/>
            <w:tcMar>
              <w:top w:w="180" w:type="dxa"/>
              <w:start w:w="140" w:type="dxa"/>
              <w:bottom w:w="180" w:type="dxa"/>
              <w:end w:w="140" w:type="dxa"/>
            </w:tcMar>
            <w:vAlign w:val="center"/>
          </w:tcPr>
          <w:p>
            <w:r>
              <w:rPr>
                <w:rFonts w:ascii="DejaVu Sans" w:hAnsi="DejaVu Sans"/>
                <w:b/>
                <w:color w:val="111111"/>
                <w:sz w:val="18"/>
              </w:rPr>
              <w:t>Pure White</w:t>
            </w:r>
          </w:p>
        </w:tc>
        <w:tc>
          <w:tcPr>
            <w:tcW w:type="dxa" w:w="2541"/>
            <w:tcMar>
              <w:top w:w="180" w:type="dxa"/>
              <w:start w:w="140" w:type="dxa"/>
              <w:bottom w:w="180" w:type="dxa"/>
              <w:end w:w="140" w:type="dxa"/>
            </w:tcMar>
            <w:vAlign w:val="center"/>
          </w:tcPr>
          <w:p>
            <w:r>
              <w:rPr>
                <w:rFonts w:ascii="DejaVu Sans" w:hAnsi="DejaVu Sans"/>
                <w:color w:val="111111"/>
                <w:sz w:val="18"/>
              </w:rPr>
              <w:t>#FFFFFF</w:t>
            </w:r>
          </w:p>
        </w:tc>
        <w:tc>
          <w:tcPr>
            <w:tcW w:type="dxa" w:w="2541"/>
            <w:tcMar>
              <w:top w:w="180" w:type="dxa"/>
              <w:start w:w="140" w:type="dxa"/>
              <w:bottom w:w="180" w:type="dxa"/>
              <w:end w:w="140" w:type="dxa"/>
            </w:tcMar>
            <w:vAlign w:val="center"/>
          </w:tcPr>
          <w:p>
            <w:r>
              <w:rPr>
                <w:rFonts w:ascii="DejaVu Sans" w:hAnsi="DejaVu Sans"/>
                <w:color w:val="111111"/>
                <w:sz w:val="18"/>
              </w:rPr>
              <w:t>255, 255, 255</w:t>
            </w:r>
          </w:p>
        </w:tc>
        <w:tc>
          <w:tcPr>
            <w:tcW w:type="dxa" w:w="2541"/>
            <w:tcMar>
              <w:top w:w="180" w:type="dxa"/>
              <w:start w:w="140" w:type="dxa"/>
              <w:bottom w:w="180" w:type="dxa"/>
              <w:end w:w="140" w:type="dxa"/>
            </w:tcMar>
            <w:vAlign w:val="center"/>
          </w:tcPr>
          <w:p>
            <w:r>
              <w:rPr>
                <w:rFonts w:ascii="DejaVu Sans" w:hAnsi="DejaVu Sans"/>
                <w:color w:val="111111"/>
                <w:sz w:val="18"/>
              </w:rPr>
              <w:t>Small type requiring maximum contrast</w:t>
            </w:r>
          </w:p>
        </w:tc>
      </w:tr>
    </w:tbl>
    <w:p/>
    <w:p>
      <w:pPr>
        <w:pStyle w:val="Heading2"/>
        <w:keepNext/>
        <w:spacing w:before="140" w:after="100"/>
      </w:pPr>
      <w:r>
        <w:rPr>
          <w:rFonts w:ascii="DejaVu Sans" w:hAnsi="DejaVu Sans"/>
          <w:b/>
          <w:color w:val="000000"/>
          <w:sz w:val="26"/>
        </w:rPr>
        <w:t>Color Rules</w:t>
      </w:r>
    </w:p>
    <w:p>
      <w:pPr>
        <w:pStyle w:val="ListBullet"/>
        <w:spacing w:before="0" w:after="60" w:line="259" w:lineRule="auto"/>
      </w:pPr>
      <w:r>
        <w:rPr>
          <w:rFonts w:ascii="DejaVu Sans" w:hAnsi="DejaVu Sans"/>
          <w:color w:val="111111"/>
          <w:sz w:val="20"/>
        </w:rPr>
        <w:t>Default to warm white artwork and type on Stage Black.</w:t>
      </w:r>
    </w:p>
    <w:p>
      <w:pPr>
        <w:pStyle w:val="ListBullet"/>
        <w:spacing w:before="0" w:after="60" w:line="259" w:lineRule="auto"/>
      </w:pPr>
      <w:r>
        <w:rPr>
          <w:rFonts w:ascii="DejaVu Sans" w:hAnsi="DejaVu Sans"/>
          <w:color w:val="111111"/>
          <w:sz w:val="20"/>
        </w:rPr>
        <w:t>Use black artwork on Warm White when a light background is required.</w:t>
      </w:r>
    </w:p>
    <w:p>
      <w:pPr>
        <w:pStyle w:val="ListBullet"/>
        <w:spacing w:before="0" w:after="60" w:line="259" w:lineRule="auto"/>
      </w:pPr>
      <w:r>
        <w:rPr>
          <w:rFonts w:ascii="DejaVu Sans" w:hAnsi="DejaVu Sans"/>
          <w:color w:val="111111"/>
          <w:sz w:val="20"/>
        </w:rPr>
        <w:t>Use full-color photos as the main source of color.</w:t>
      </w:r>
    </w:p>
    <w:p>
      <w:pPr>
        <w:pStyle w:val="ListBullet"/>
        <w:spacing w:before="0" w:after="60" w:line="259" w:lineRule="auto"/>
      </w:pPr>
      <w:r>
        <w:rPr>
          <w:rFonts w:ascii="DejaVu Sans" w:hAnsi="DejaVu Sans"/>
          <w:color w:val="111111"/>
          <w:sz w:val="20"/>
        </w:rPr>
        <w:t>Mute or convert a photo to black and white when its colors compete with the event information.</w:t>
      </w:r>
    </w:p>
    <w:p>
      <w:pPr>
        <w:pStyle w:val="ListBullet"/>
        <w:spacing w:before="0" w:after="60" w:line="259" w:lineRule="auto"/>
      </w:pPr>
      <w:r>
        <w:rPr>
          <w:rFonts w:ascii="DejaVu Sans" w:hAnsi="DejaVu Sans"/>
          <w:color w:val="111111"/>
          <w:sz w:val="20"/>
        </w:rPr>
        <w:t>Do not introduce gold, yellow, navy, neon, or venue colors as permanent brand colors.</w:t>
      </w:r>
    </w:p>
    <w:p>
      <w:r>
        <w:br w:type="page"/>
      </w:r>
    </w:p>
    <w:p>
      <w:pPr>
        <w:pStyle w:val="Heading1"/>
        <w:keepNext/>
        <w:spacing w:before="200" w:after="100"/>
      </w:pPr>
      <w:r>
        <w:rPr>
          <w:rFonts w:ascii="DejaVu Sans" w:hAnsi="DejaVu Sans"/>
          <w:b/>
          <w:color w:val="000000"/>
          <w:sz w:val="36"/>
        </w:rPr>
        <w:t>Photography and Graphic Elements</w:t>
      </w:r>
    </w:p>
    <w:p>
      <w:pPr>
        <w:spacing w:before="0" w:after="140" w:line="269" w:lineRule="auto"/>
      </w:pPr>
      <w:r>
        <w:rPr>
          <w:rFonts w:ascii="DejaVu Sans" w:hAnsi="DejaVu Sans"/>
          <w:color w:val="111111"/>
          <w:sz w:val="21"/>
        </w:rPr>
        <w:t>The people are the personality of the brand. Use current photographs of the actual performers and preserve natural faces, expressions, clothing, and proportions.</w:t>
      </w:r>
    </w:p>
    <w:p>
      <w:pPr>
        <w:keepNext/>
        <w:jc w:val="center"/>
      </w:pPr>
      <w:r>
        <w:drawing>
          <wp:inline xmlns:a="http://schemas.openxmlformats.org/drawingml/2006/main" xmlns:pic="http://schemas.openxmlformats.org/drawingml/2006/picture">
            <wp:extent cx="6035040" cy="3483080"/>
            <wp:docPr id="5" name="Picture 5"/>
            <wp:cNvGraphicFramePr>
              <a:graphicFrameLocks noChangeAspect="1"/>
            </wp:cNvGraphicFramePr>
            <a:graphic>
              <a:graphicData uri="http://schemas.openxmlformats.org/drawingml/2006/picture">
                <pic:pic>
                  <pic:nvPicPr>
                    <pic:cNvPr id="0" name="band-photo.png"/>
                    <pic:cNvPicPr/>
                  </pic:nvPicPr>
                  <pic:blipFill>
                    <a:blip r:embed="rId11"/>
                    <a:stretch>
                      <a:fillRect/>
                    </a:stretch>
                  </pic:blipFill>
                  <pic:spPr>
                    <a:xfrm>
                      <a:off x="0" y="0"/>
                      <a:ext cx="6035040" cy="3483080"/>
                    </a:xfrm>
                    <a:prstGeom prst="rect"/>
                  </pic:spPr>
                </pic:pic>
              </a:graphicData>
            </a:graphic>
          </wp:inline>
        </w:drawing>
      </w:r>
    </w:p>
    <w:p>
      <w:pPr>
        <w:spacing w:before="0" w:after="180" w:line="259" w:lineRule="auto"/>
        <w:jc w:val="center"/>
      </w:pPr>
      <w:r>
        <w:rPr>
          <w:rFonts w:ascii="DejaVu Sans" w:hAnsi="DejaVu Sans"/>
          <w:i/>
          <w:color w:val="555555"/>
          <w:sz w:val="17"/>
        </w:rPr>
        <w:t>Preferred photography is current, recognizable, relaxed, and warm</w:t>
      </w:r>
    </w:p>
    <w:p>
      <w:pPr>
        <w:pStyle w:val="Heading2"/>
        <w:keepNext/>
        <w:spacing w:before="140" w:after="100"/>
      </w:pPr>
      <w:r>
        <w:rPr>
          <w:rFonts w:ascii="DejaVu Sans" w:hAnsi="DejaVu Sans"/>
          <w:b/>
          <w:color w:val="000000"/>
          <w:sz w:val="26"/>
        </w:rPr>
        <w:t>Photography Rules</w:t>
      </w:r>
    </w:p>
    <w:p>
      <w:pPr>
        <w:pStyle w:val="ListBullet"/>
        <w:spacing w:before="0" w:after="60" w:line="259" w:lineRule="auto"/>
      </w:pPr>
      <w:r>
        <w:rPr>
          <w:rFonts w:ascii="DejaVu Sans" w:hAnsi="DejaVu Sans"/>
          <w:color w:val="111111"/>
          <w:sz w:val="20"/>
        </w:rPr>
        <w:t>Choose natural smiles, playful interaction, and clear faces.</w:t>
      </w:r>
    </w:p>
    <w:p>
      <w:pPr>
        <w:pStyle w:val="ListBullet"/>
        <w:spacing w:before="0" w:after="60" w:line="259" w:lineRule="auto"/>
      </w:pPr>
      <w:r>
        <w:rPr>
          <w:rFonts w:ascii="DejaVu Sans" w:hAnsi="DejaVu Sans"/>
          <w:color w:val="111111"/>
          <w:sz w:val="20"/>
        </w:rPr>
        <w:t>Keep every member of the advertised lineup visible.</w:t>
      </w:r>
    </w:p>
    <w:p>
      <w:pPr>
        <w:pStyle w:val="ListBullet"/>
        <w:spacing w:before="0" w:after="60" w:line="259" w:lineRule="auto"/>
      </w:pPr>
      <w:r>
        <w:rPr>
          <w:rFonts w:ascii="DejaVu Sans" w:hAnsi="DejaVu Sans"/>
          <w:color w:val="111111"/>
          <w:sz w:val="20"/>
        </w:rPr>
        <w:t>Preserve natural skin tones and recognizable expressions.</w:t>
      </w:r>
    </w:p>
    <w:p>
      <w:pPr>
        <w:pStyle w:val="ListBullet"/>
        <w:spacing w:before="0" w:after="60" w:line="259" w:lineRule="auto"/>
      </w:pPr>
      <w:r>
        <w:rPr>
          <w:rFonts w:ascii="DejaVu Sans" w:hAnsi="DejaVu Sans"/>
          <w:color w:val="111111"/>
          <w:sz w:val="20"/>
        </w:rPr>
        <w:t>Use simple backgrounds or clean group cutouts that fade gently into black.</w:t>
      </w:r>
    </w:p>
    <w:p>
      <w:pPr>
        <w:pStyle w:val="ListBullet"/>
        <w:spacing w:before="0" w:after="60" w:line="259" w:lineRule="auto"/>
      </w:pPr>
      <w:r>
        <w:rPr>
          <w:rFonts w:ascii="DejaVu Sans" w:hAnsi="DejaVu Sans"/>
          <w:color w:val="111111"/>
          <w:sz w:val="20"/>
        </w:rPr>
        <w:t>Never place important text over a face, hand, or instrument.</w:t>
      </w:r>
    </w:p>
    <w:p>
      <w:pPr>
        <w:pStyle w:val="ListBullet"/>
        <w:spacing w:before="0" w:after="60" w:line="259" w:lineRule="auto"/>
      </w:pPr>
      <w:r>
        <w:rPr>
          <w:rFonts w:ascii="DejaVu Sans" w:hAnsi="DejaVu Sans"/>
          <w:color w:val="111111"/>
          <w:sz w:val="20"/>
        </w:rPr>
        <w:t>Avoid artificial face changes, heavy filters, stock musicians, and excessive smoothing.</w:t>
      </w:r>
    </w:p>
    <w:p>
      <w:pPr>
        <w:pStyle w:val="Heading2"/>
        <w:keepNext/>
        <w:spacing w:before="140" w:after="100"/>
      </w:pPr>
      <w:r>
        <w:rPr>
          <w:rFonts w:ascii="DejaVu Sans" w:hAnsi="DejaVu Sans"/>
          <w:b/>
          <w:color w:val="000000"/>
          <w:sz w:val="26"/>
        </w:rPr>
        <w:t>Supporting Graphics</w:t>
      </w:r>
    </w:p>
    <w:p>
      <w:pPr>
        <w:spacing w:before="0" w:after="140" w:line="269" w:lineRule="auto"/>
      </w:pPr>
      <w:r>
        <w:rPr>
          <w:rFonts w:ascii="DejaVu Sans" w:hAnsi="DejaVu Sans"/>
          <w:color w:val="111111"/>
          <w:sz w:val="21"/>
        </w:rPr>
        <w:t>Approved supporting elements are the simple microphone, a simple acoustic-guitar silhouette, thin divider lines, rounded corners, and a restrained matte or paper texture. Use one strong music symbol at a time. Avoid decorative music-note sprays, stage-light effects, barrels, saloon imagery, banners, ribbons, and heavy artificial aging.</w:t>
      </w:r>
    </w:p>
    <w:p>
      <w:r>
        <w:br w:type="page"/>
      </w:r>
    </w:p>
    <w:p>
      <w:pPr>
        <w:pStyle w:val="Heading1"/>
        <w:keepNext/>
        <w:spacing w:before="200" w:after="100"/>
      </w:pPr>
      <w:r>
        <w:rPr>
          <w:rFonts w:ascii="DejaVu Sans" w:hAnsi="DejaVu Sans"/>
          <w:b/>
          <w:color w:val="000000"/>
          <w:sz w:val="36"/>
        </w:rPr>
        <w:t>Show Graphics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5083"/>
            <w:tcMar>
              <w:top w:w="120" w:type="dxa"/>
              <w:start w:w="120" w:type="dxa"/>
              <w:bottom w:w="120" w:type="dxa"/>
              <w:end w:w="120" w:type="dxa"/>
            </w:tcMar>
            <w:vAlign w:val="top"/>
          </w:tcPr>
          <w:p>
            <w:pPr>
              <w:jc w:val="center"/>
            </w:pPr>
            <w:r>
              <w:drawing>
                <wp:inline xmlns:a="http://schemas.openxmlformats.org/drawingml/2006/main" xmlns:pic="http://schemas.openxmlformats.org/drawingml/2006/picture">
                  <wp:extent cx="2880360" cy="2880360"/>
                  <wp:docPr id="6" name="Picture 6"/>
                  <wp:cNvGraphicFramePr>
                    <a:graphicFrameLocks noChangeAspect="1"/>
                  </wp:cNvGraphicFramePr>
                  <a:graphic>
                    <a:graphicData uri="http://schemas.openxmlformats.org/drawingml/2006/picture">
                      <pic:pic>
                        <pic:nvPicPr>
                          <pic:cNvPr id="0" name="exec-0c21cdf9-3cc5-4d41-bafb-794524c9c9a2.png"/>
                          <pic:cNvPicPr/>
                        </pic:nvPicPr>
                        <pic:blipFill>
                          <a:blip r:embed="rId13"/>
                          <a:stretch>
                            <a:fillRect/>
                          </a:stretch>
                        </pic:blipFill>
                        <pic:spPr>
                          <a:xfrm>
                            <a:off x="0" y="0"/>
                            <a:ext cx="2880360" cy="2880360"/>
                          </a:xfrm>
                          <a:prstGeom prst="rect"/>
                        </pic:spPr>
                      </pic:pic>
                    </a:graphicData>
                  </a:graphic>
                </wp:inline>
              </w:drawing>
            </w:r>
          </w:p>
        </w:tc>
        <w:tc>
          <w:tcPr>
            <w:tcW w:type="dxa" w:w="5083"/>
            <w:tcMar>
              <w:top w:w="120" w:type="dxa"/>
              <w:start w:w="120" w:type="dxa"/>
              <w:bottom w:w="120" w:type="dxa"/>
              <w:end w:w="120" w:type="dxa"/>
            </w:tcMar>
            <w:vAlign w:val="top"/>
          </w:tcPr>
          <w:p>
            <w:pPr>
              <w:spacing w:before="0" w:after="120" w:line="259" w:lineRule="auto"/>
            </w:pPr>
            <w:r>
              <w:rPr>
                <w:rFonts w:ascii="DejaVu Sans" w:hAnsi="DejaVu Sans"/>
                <w:b/>
                <w:color w:val="111111"/>
                <w:sz w:val="24"/>
              </w:rPr>
              <w:t>Recommended square layout</w:t>
            </w:r>
          </w:p>
          <w:p>
            <w:pPr>
              <w:pStyle w:val="ListNumber"/>
              <w:spacing w:before="0" w:after="80" w:line="259" w:lineRule="auto"/>
            </w:pPr>
            <w:r>
              <w:rPr>
                <w:rFonts w:ascii="DejaVu Sans" w:hAnsi="DejaVu Sans"/>
                <w:color w:val="111111"/>
                <w:sz w:val="19"/>
              </w:rPr>
              <w:t>S&amp;B microphone mark</w:t>
            </w:r>
          </w:p>
          <w:p>
            <w:pPr>
              <w:pStyle w:val="ListNumber"/>
              <w:spacing w:before="0" w:after="80" w:line="259" w:lineRule="auto"/>
            </w:pPr>
            <w:r>
              <w:rPr>
                <w:rFonts w:ascii="DejaVu Sans" w:hAnsi="DejaVu Sans"/>
                <w:color w:val="111111"/>
                <w:sz w:val="19"/>
              </w:rPr>
              <w:t>Full act name</w:t>
            </w:r>
          </w:p>
          <w:p>
            <w:pPr>
              <w:pStyle w:val="ListNumber"/>
              <w:spacing w:before="0" w:after="80" w:line="259" w:lineRule="auto"/>
            </w:pPr>
            <w:r>
              <w:rPr>
                <w:rFonts w:ascii="DejaVu Sans" w:hAnsi="DejaVu Sans"/>
                <w:color w:val="111111"/>
                <w:sz w:val="19"/>
              </w:rPr>
              <w:t>Large UPCOMING SHOWS headline</w:t>
            </w:r>
          </w:p>
          <w:p>
            <w:pPr>
              <w:pStyle w:val="ListNumber"/>
              <w:spacing w:before="0" w:after="80" w:line="259" w:lineRule="auto"/>
            </w:pPr>
            <w:r>
              <w:rPr>
                <w:rFonts w:ascii="DejaVu Sans" w:hAnsi="DejaVu Sans"/>
                <w:color w:val="111111"/>
                <w:sz w:val="19"/>
              </w:rPr>
              <w:t>Clearly separated event rows</w:t>
            </w:r>
          </w:p>
          <w:p>
            <w:pPr>
              <w:pStyle w:val="ListNumber"/>
              <w:spacing w:before="0" w:after="80" w:line="259" w:lineRule="auto"/>
            </w:pPr>
            <w:r>
              <w:rPr>
                <w:rFonts w:ascii="DejaVu Sans" w:hAnsi="DejaVu Sans"/>
                <w:color w:val="111111"/>
                <w:sz w:val="19"/>
              </w:rPr>
              <w:t>Current group photo along the lower portion</w:t>
            </w:r>
          </w:p>
          <w:p>
            <w:pPr>
              <w:spacing w:before="160" w:after="80" w:line="259" w:lineRule="auto"/>
            </w:pPr>
            <w:r>
              <w:rPr>
                <w:rFonts w:ascii="DejaVu Sans" w:hAnsi="DejaVu Sans"/>
                <w:b/>
                <w:color w:val="111111"/>
                <w:sz w:val="21"/>
              </w:rPr>
              <w:t>Standard size</w:t>
            </w:r>
            <w:r>
              <w:rPr>
                <w:rFonts w:ascii="DejaVu Sans" w:hAnsi="DejaVu Sans"/>
                <w:color w:val="111111"/>
                <w:sz w:val="21"/>
              </w:rPr>
              <w:br/>
              <w:t>1080 x 1080 pixels</w:t>
            </w:r>
          </w:p>
          <w:p>
            <w:pPr>
              <w:spacing w:before="100" w:after="80" w:line="259" w:lineRule="auto"/>
            </w:pPr>
            <w:r>
              <w:rPr>
                <w:rFonts w:ascii="DejaVu Sans" w:hAnsi="DejaVu Sans"/>
                <w:b/>
                <w:color w:val="111111"/>
                <w:sz w:val="21"/>
              </w:rPr>
              <w:t>Event format</w:t>
            </w:r>
            <w:r>
              <w:rPr>
                <w:rFonts w:ascii="DejaVu Sans" w:hAnsi="DejaVu Sans"/>
                <w:color w:val="111111"/>
                <w:sz w:val="21"/>
              </w:rPr>
              <w:br/>
              <w:t>MONTH DAY</w:t>
              <w:br/>
              <w:t>VENUE • TIME</w:t>
            </w:r>
          </w:p>
          <w:p>
            <w:pPr>
              <w:spacing w:before="100" w:after="80" w:line="259" w:lineRule="auto"/>
            </w:pPr>
            <w:r>
              <w:rPr>
                <w:rFonts w:ascii="DejaVu Sans" w:hAnsi="DejaVu Sans"/>
                <w:b/>
                <w:color w:val="111111"/>
                <w:sz w:val="21"/>
              </w:rPr>
              <w:t>Other useful sizes</w:t>
            </w:r>
            <w:r>
              <w:rPr>
                <w:rFonts w:ascii="DejaVu Sans" w:hAnsi="DejaVu Sans"/>
                <w:color w:val="111111"/>
                <w:sz w:val="21"/>
              </w:rPr>
              <w:br/>
              <w:t>1080 x 1350 portrait post</w:t>
              <w:br/>
              <w:t>1920 x 1080 event screen</w:t>
            </w:r>
          </w:p>
        </w:tc>
      </w:tr>
    </w:tbl>
    <w:p/>
    <w:p>
      <w:pPr>
        <w:pStyle w:val="Heading2"/>
        <w:keepNext/>
        <w:spacing w:before="140" w:after="100"/>
      </w:pPr>
      <w:r>
        <w:rPr>
          <w:rFonts w:ascii="DejaVu Sans" w:hAnsi="DejaVu Sans"/>
          <w:b/>
          <w:color w:val="000000"/>
          <w:sz w:val="26"/>
        </w:rPr>
        <w:t>Information Priority</w:t>
      </w:r>
    </w:p>
    <w:p>
      <w:pPr>
        <w:spacing w:before="0" w:after="140" w:line="269" w:lineRule="auto"/>
      </w:pPr>
      <w:r>
        <w:rPr>
          <w:rFonts w:ascii="DejaVu Sans" w:hAnsi="DejaVu Sans"/>
          <w:color w:val="111111"/>
          <w:sz w:val="21"/>
        </w:rPr>
        <w:t>A viewer should recognize who is playing, that the piece announces upcoming shows, and the date, venue, and time within two seconds. Decoration is always secondary to those facts.</w:t>
      </w:r>
    </w:p>
    <w:p>
      <w:pPr>
        <w:pStyle w:val="Heading2"/>
        <w:keepNext/>
        <w:spacing w:before="140" w:after="100"/>
      </w:pPr>
      <w:r>
        <w:rPr>
          <w:rFonts w:ascii="DejaVu Sans" w:hAnsi="DejaVu Sans"/>
          <w:b/>
          <w:color w:val="000000"/>
          <w:sz w:val="26"/>
        </w:rPr>
        <w:t>Mobile Check</w:t>
      </w:r>
    </w:p>
    <w:p>
      <w:pPr>
        <w:pStyle w:val="ListBullet"/>
        <w:spacing w:before="0" w:after="60" w:line="259" w:lineRule="auto"/>
      </w:pPr>
      <w:r>
        <w:rPr>
          <w:rFonts w:ascii="DejaVu Sans" w:hAnsi="DejaVu Sans"/>
          <w:color w:val="111111"/>
          <w:sz w:val="20"/>
        </w:rPr>
        <w:t>Preview the final graphic at phone-feed size before publishing.</w:t>
      </w:r>
    </w:p>
    <w:p>
      <w:pPr>
        <w:pStyle w:val="ListBullet"/>
        <w:spacing w:before="0" w:after="60" w:line="259" w:lineRule="auto"/>
      </w:pPr>
      <w:r>
        <w:rPr>
          <w:rFonts w:ascii="DejaVu Sans" w:hAnsi="DejaVu Sans"/>
          <w:color w:val="111111"/>
          <w:sz w:val="20"/>
        </w:rPr>
        <w:t>Do not shrink venue or time information to fit decoration.</w:t>
      </w:r>
    </w:p>
    <w:p>
      <w:pPr>
        <w:pStyle w:val="ListBullet"/>
        <w:spacing w:before="0" w:after="60" w:line="259" w:lineRule="auto"/>
      </w:pPr>
      <w:r>
        <w:rPr>
          <w:rFonts w:ascii="DejaVu Sans" w:hAnsi="DejaVu Sans"/>
          <w:color w:val="111111"/>
          <w:sz w:val="20"/>
        </w:rPr>
        <w:t>Break a long venue name onto a second line if necessary.</w:t>
      </w:r>
    </w:p>
    <w:p>
      <w:pPr>
        <w:pStyle w:val="ListBullet"/>
        <w:spacing w:before="0" w:after="60" w:line="259" w:lineRule="auto"/>
      </w:pPr>
      <w:r>
        <w:rPr>
          <w:rFonts w:ascii="DejaVu Sans" w:hAnsi="DejaVu Sans"/>
          <w:color w:val="111111"/>
          <w:sz w:val="20"/>
        </w:rPr>
        <w:t>Check every date, location, and time against the booking information.</w:t>
      </w:r>
    </w:p>
    <w:p>
      <w:r>
        <w:br w:type="page"/>
      </w:r>
    </w:p>
    <w:p>
      <w:pPr>
        <w:pStyle w:val="Heading1"/>
        <w:keepNext/>
        <w:spacing w:before="200" w:after="100"/>
      </w:pPr>
      <w:r>
        <w:rPr>
          <w:rFonts w:ascii="DejaVu Sans" w:hAnsi="DejaVu Sans"/>
          <w:b/>
          <w:color w:val="000000"/>
          <w:sz w:val="36"/>
        </w:rPr>
        <w:t>Voice and Contact Information</w:t>
      </w:r>
    </w:p>
    <w:p>
      <w:pPr>
        <w:spacing w:before="0" w:after="140" w:line="269" w:lineRule="auto"/>
      </w:pPr>
      <w:r>
        <w:rPr>
          <w:rFonts w:ascii="DejaVu Sans" w:hAnsi="DejaVu Sans"/>
          <w:color w:val="111111"/>
          <w:sz w:val="21"/>
        </w:rPr>
        <w:t>Write like a friendly invitation from the band, not an advertisement written by a promoter. Keep posts direct, grateful, lighthearted, and clear about the practical details.</w:t>
      </w:r>
    </w:p>
    <w:p>
      <w:pPr>
        <w:pStyle w:val="Heading2"/>
        <w:keepNext/>
        <w:spacing w:before="140" w:after="100"/>
      </w:pPr>
      <w:r>
        <w:rPr>
          <w:rFonts w:ascii="DejaVu Sans" w:hAnsi="DejaVu Sans"/>
          <w:b/>
          <w:color w:val="000000"/>
          <w:sz w:val="26"/>
        </w:rPr>
        <w:t>Example Show Post</w:t>
      </w:r>
    </w:p>
    <w:p>
      <w:pPr>
        <w:spacing w:before="0" w:after="140" w:line="269" w:lineRule="auto"/>
      </w:pPr>
      <w:r>
        <w:rPr>
          <w:rFonts w:ascii="DejaVu Sans" w:hAnsi="DejaVu Sans"/>
          <w:color w:val="111111"/>
          <w:sz w:val="21"/>
        </w:rPr>
        <w:t>We have a few good afternoons and evenings of music coming up. Come hear Sarah &amp; the Buds, bring a friend, and settle in for songs we love playing together. The dates and details are below. We hope to see you there.</w:t>
      </w:r>
    </w:p>
    <w:p>
      <w:pPr>
        <w:pStyle w:val="Heading2"/>
        <w:keepNext/>
        <w:spacing w:before="140" w:after="100"/>
      </w:pPr>
      <w:r>
        <w:rPr>
          <w:rFonts w:ascii="DejaVu Sans" w:hAnsi="DejaVu Sans"/>
          <w:b/>
          <w:color w:val="000000"/>
          <w:sz w:val="26"/>
        </w:rPr>
        <w:t>Official Contact Block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Channel</w:t>
            </w:r>
          </w:p>
        </w:tc>
        <w:tc>
          <w:tcPr>
            <w:tcW w:type="dxa" w:w="7416"/>
            <w:shd w:fill="2A2A2A"/>
            <w:tcMar>
              <w:top w:w="130" w:type="dxa"/>
              <w:start w:w="140" w:type="dxa"/>
              <w:bottom w:w="130" w:type="dxa"/>
              <w:end w:w="140" w:type="dxa"/>
            </w:tcMar>
            <w:vAlign w:val="center"/>
          </w:tcPr>
          <w:p>
            <w:pPr>
              <w:spacing w:before="0" w:after="0" w:line="259" w:lineRule="auto"/>
              <w:jc w:val="left"/>
            </w:pPr>
            <w:r>
              <w:rPr>
                <w:rFonts w:ascii="DejaVu Sans" w:hAnsi="DejaVu Sans"/>
                <w:b/>
                <w:color w:val="FFFFFF"/>
                <w:sz w:val="18"/>
              </w:rPr>
              <w:t>Standard listing</w:t>
            </w:r>
          </w:p>
        </w:tc>
      </w:tr>
      <w:tr>
        <w:tc>
          <w:tcPr>
            <w:tcW w:type="dxa" w:w="2376"/>
            <w:tcMar>
              <w:top w:w="130" w:type="dxa"/>
              <w:start w:w="140" w:type="dxa"/>
              <w:bottom w:w="130" w:type="dxa"/>
              <w:end w:w="140" w:type="dxa"/>
            </w:tcMar>
            <w:vAlign w:val="center"/>
          </w:tcPr>
          <w:p>
            <w:pPr>
              <w:spacing w:before="0" w:after="0" w:line="250" w:lineRule="auto"/>
            </w:pPr>
            <w:r>
              <w:rPr>
                <w:rFonts w:ascii="DejaVu Sans" w:hAnsi="DejaVu Sans"/>
                <w:color w:val="111111"/>
                <w:sz w:val="18"/>
              </w:rPr>
              <w:t>Booking phone</w:t>
            </w:r>
          </w:p>
        </w:tc>
        <w:tc>
          <w:tcPr>
            <w:tcW w:type="dxa" w:w="7416"/>
            <w:tcMar>
              <w:top w:w="130" w:type="dxa"/>
              <w:start w:w="140" w:type="dxa"/>
              <w:bottom w:w="130" w:type="dxa"/>
              <w:end w:w="140" w:type="dxa"/>
            </w:tcMar>
            <w:vAlign w:val="center"/>
          </w:tcPr>
          <w:p>
            <w:pPr>
              <w:spacing w:before="0" w:after="0" w:line="250" w:lineRule="auto"/>
            </w:pPr>
            <w:r>
              <w:rPr>
                <w:rFonts w:ascii="DejaVu Sans" w:hAnsi="DejaVu Sans"/>
                <w:color w:val="111111"/>
                <w:sz w:val="18"/>
              </w:rPr>
              <w:t>(859) 519-0840</w:t>
            </w:r>
          </w:p>
        </w:tc>
      </w:tr>
      <w:tr>
        <w:tc>
          <w:tcPr>
            <w:tcW w:type="dxa" w:w="2376"/>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Booking email</w:t>
            </w:r>
          </w:p>
        </w:tc>
        <w:tc>
          <w:tcPr>
            <w:tcW w:type="dxa" w:w="7416"/>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booksarahandbud@gmail.com</w:t>
            </w:r>
          </w:p>
        </w:tc>
      </w:tr>
      <w:tr>
        <w:tc>
          <w:tcPr>
            <w:tcW w:type="dxa" w:w="2376"/>
            <w:tcMar>
              <w:top w:w="130" w:type="dxa"/>
              <w:start w:w="140" w:type="dxa"/>
              <w:bottom w:w="130" w:type="dxa"/>
              <w:end w:w="140" w:type="dxa"/>
            </w:tcMar>
            <w:vAlign w:val="center"/>
          </w:tcPr>
          <w:p>
            <w:pPr>
              <w:spacing w:before="0" w:after="0" w:line="250" w:lineRule="auto"/>
            </w:pPr>
            <w:r>
              <w:rPr>
                <w:rFonts w:ascii="DejaVu Sans" w:hAnsi="DejaVu Sans"/>
                <w:color w:val="111111"/>
                <w:sz w:val="18"/>
              </w:rPr>
              <w:t>Facebook</w:t>
            </w:r>
          </w:p>
        </w:tc>
        <w:tc>
          <w:tcPr>
            <w:tcW w:type="dxa" w:w="7416"/>
            <w:tcMar>
              <w:top w:w="130" w:type="dxa"/>
              <w:start w:w="140" w:type="dxa"/>
              <w:bottom w:w="130" w:type="dxa"/>
              <w:end w:w="140" w:type="dxa"/>
            </w:tcMar>
            <w:vAlign w:val="center"/>
          </w:tcPr>
          <w:p>
            <w:pPr>
              <w:spacing w:before="0" w:after="0" w:line="250" w:lineRule="auto"/>
            </w:pPr>
            <w:r>
              <w:rPr>
                <w:rFonts w:ascii="DejaVu Sans" w:hAnsi="DejaVu Sans"/>
                <w:color w:val="111111"/>
                <w:sz w:val="18"/>
              </w:rPr>
              <w:t>facebook.com/sarahandbud</w:t>
            </w:r>
          </w:p>
        </w:tc>
      </w:tr>
      <w:tr>
        <w:tc>
          <w:tcPr>
            <w:tcW w:type="dxa" w:w="2376"/>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YouTube</w:t>
            </w:r>
          </w:p>
        </w:tc>
        <w:tc>
          <w:tcPr>
            <w:tcW w:type="dxa" w:w="7416"/>
            <w:shd w:fill="F3F3F1"/>
            <w:tcMar>
              <w:top w:w="130" w:type="dxa"/>
              <w:start w:w="140" w:type="dxa"/>
              <w:bottom w:w="130" w:type="dxa"/>
              <w:end w:w="140" w:type="dxa"/>
            </w:tcMar>
            <w:vAlign w:val="center"/>
          </w:tcPr>
          <w:p>
            <w:pPr>
              <w:spacing w:before="0" w:after="0" w:line="250" w:lineRule="auto"/>
            </w:pPr>
            <w:r>
              <w:rPr>
                <w:rFonts w:ascii="DejaVu Sans" w:hAnsi="DejaVu Sans"/>
                <w:color w:val="111111"/>
                <w:sz w:val="18"/>
              </w:rPr>
              <w:t>youtube.com/@sarahandbud</w:t>
            </w:r>
          </w:p>
        </w:tc>
      </w:tr>
      <w:tr>
        <w:tc>
          <w:tcPr>
            <w:tcW w:type="dxa" w:w="2376"/>
            <w:tcMar>
              <w:top w:w="130" w:type="dxa"/>
              <w:start w:w="140" w:type="dxa"/>
              <w:bottom w:w="130" w:type="dxa"/>
              <w:end w:w="140" w:type="dxa"/>
            </w:tcMar>
            <w:vAlign w:val="center"/>
          </w:tcPr>
          <w:p>
            <w:pPr>
              <w:spacing w:before="0" w:after="0" w:line="250" w:lineRule="auto"/>
            </w:pPr>
            <w:r>
              <w:rPr>
                <w:rFonts w:ascii="DejaVu Sans" w:hAnsi="DejaVu Sans"/>
                <w:color w:val="111111"/>
                <w:sz w:val="18"/>
              </w:rPr>
              <w:t>Instagram</w:t>
            </w:r>
          </w:p>
        </w:tc>
        <w:tc>
          <w:tcPr>
            <w:tcW w:type="dxa" w:w="7416"/>
            <w:tcMar>
              <w:top w:w="130" w:type="dxa"/>
              <w:start w:w="140" w:type="dxa"/>
              <w:bottom w:w="130" w:type="dxa"/>
              <w:end w:w="140" w:type="dxa"/>
            </w:tcMar>
            <w:vAlign w:val="center"/>
          </w:tcPr>
          <w:p>
            <w:pPr>
              <w:spacing w:before="0" w:after="0" w:line="250" w:lineRule="auto"/>
            </w:pPr>
            <w:r>
              <w:rPr>
                <w:rFonts w:ascii="DejaVu Sans" w:hAnsi="DejaVu Sans"/>
                <w:color w:val="111111"/>
                <w:sz w:val="18"/>
              </w:rPr>
              <w:t>@sarah.and.bud</w:t>
            </w:r>
          </w:p>
        </w:tc>
      </w:tr>
    </w:tbl>
    <w:p>
      <w:pPr>
        <w:spacing w:before="0" w:after="20" w:line="259" w:lineRule="auto"/>
      </w:pPr>
    </w:p>
    <w:p>
      <w:pPr>
        <w:spacing w:before="0" w:after="140" w:line="269" w:lineRule="auto"/>
      </w:pPr>
      <w:r>
        <w:rPr>
          <w:rFonts w:ascii="DejaVu Sans" w:hAnsi="DejaVu Sans"/>
          <w:color w:val="111111"/>
          <w:sz w:val="21"/>
        </w:rPr>
        <w:t>Use the booking email first, followed by one primary social channel. Include the full contact block only on booking pieces or profile pages. Show graphics should prioritize the performance information.</w:t>
      </w:r>
    </w:p>
    <w:p>
      <w:pPr>
        <w:pStyle w:val="Heading2"/>
        <w:keepNext/>
        <w:spacing w:before="140" w:after="100"/>
      </w:pPr>
      <w:r>
        <w:rPr>
          <w:rFonts w:ascii="DejaVu Sans" w:hAnsi="DejaVu Sans"/>
          <w:b/>
          <w:color w:val="000000"/>
          <w:sz w:val="26"/>
        </w:rPr>
        <w:t>Production Checklist</w:t>
      </w:r>
    </w:p>
    <w:p>
      <w:pPr>
        <w:pStyle w:val="ListBullet"/>
        <w:spacing w:before="0" w:after="60" w:line="259" w:lineRule="auto"/>
      </w:pPr>
      <w:r>
        <w:rPr>
          <w:rFonts w:ascii="DejaVu Sans" w:hAnsi="DejaVu Sans"/>
          <w:color w:val="111111"/>
          <w:sz w:val="20"/>
        </w:rPr>
        <w:t>Use the correct act name for the lineup: Sarah &amp; the Buds or Sarah &amp; Bud.</w:t>
      </w:r>
    </w:p>
    <w:p>
      <w:pPr>
        <w:pStyle w:val="ListBullet"/>
        <w:spacing w:before="0" w:after="60" w:line="259" w:lineRule="auto"/>
      </w:pPr>
      <w:r>
        <w:rPr>
          <w:rFonts w:ascii="DejaVu Sans" w:hAnsi="DejaVu Sans"/>
          <w:color w:val="111111"/>
          <w:sz w:val="20"/>
        </w:rPr>
        <w:t>Use approved S&amp;B artwork without distortion.</w:t>
      </w:r>
    </w:p>
    <w:p>
      <w:pPr>
        <w:pStyle w:val="ListBullet"/>
        <w:spacing w:before="0" w:after="60" w:line="259" w:lineRule="auto"/>
      </w:pPr>
      <w:r>
        <w:rPr>
          <w:rFonts w:ascii="DejaVu Sans" w:hAnsi="DejaVu Sans"/>
          <w:color w:val="111111"/>
          <w:sz w:val="20"/>
        </w:rPr>
        <w:t>Keep the piece primarily black and warm white.</w:t>
      </w:r>
    </w:p>
    <w:p>
      <w:pPr>
        <w:pStyle w:val="ListBullet"/>
        <w:spacing w:before="0" w:after="60" w:line="259" w:lineRule="auto"/>
      </w:pPr>
      <w:r>
        <w:rPr>
          <w:rFonts w:ascii="DejaVu Sans" w:hAnsi="DejaVu Sans"/>
          <w:color w:val="111111"/>
          <w:sz w:val="20"/>
        </w:rPr>
        <w:t>Use Avenir Next, Montserrat, or the approved fallback consistently.</w:t>
      </w:r>
    </w:p>
    <w:p>
      <w:pPr>
        <w:pStyle w:val="ListBullet"/>
        <w:spacing w:before="0" w:after="60" w:line="259" w:lineRule="auto"/>
      </w:pPr>
      <w:r>
        <w:rPr>
          <w:rFonts w:ascii="DejaVu Sans" w:hAnsi="DejaVu Sans"/>
          <w:color w:val="111111"/>
          <w:sz w:val="20"/>
        </w:rPr>
        <w:t>Check every date, venue, and time.</w:t>
      </w:r>
    </w:p>
    <w:p>
      <w:pPr>
        <w:pStyle w:val="ListBullet"/>
        <w:spacing w:before="0" w:after="60" w:line="259" w:lineRule="auto"/>
      </w:pPr>
      <w:r>
        <w:rPr>
          <w:rFonts w:ascii="DejaVu Sans" w:hAnsi="DejaVu Sans"/>
          <w:color w:val="111111"/>
          <w:sz w:val="20"/>
        </w:rPr>
        <w:t>Show only the performers appearing at that event.</w:t>
      </w:r>
    </w:p>
    <w:p>
      <w:pPr>
        <w:pStyle w:val="ListBullet"/>
        <w:spacing w:before="0" w:after="60" w:line="259" w:lineRule="auto"/>
      </w:pPr>
      <w:r>
        <w:rPr>
          <w:rFonts w:ascii="DejaVu Sans" w:hAnsi="DejaVu Sans"/>
          <w:color w:val="111111"/>
          <w:sz w:val="20"/>
        </w:rPr>
        <w:t>Keep faces recognizable and unobstructed.</w:t>
      </w:r>
    </w:p>
    <w:p>
      <w:pPr>
        <w:pStyle w:val="ListBullet"/>
        <w:spacing w:before="0" w:after="60" w:line="259" w:lineRule="auto"/>
      </w:pPr>
      <w:r>
        <w:rPr>
          <w:rFonts w:ascii="DejaVu Sans" w:hAnsi="DejaVu Sans"/>
          <w:color w:val="111111"/>
          <w:sz w:val="20"/>
        </w:rPr>
        <w:t>Remove any decorative element that competes with the event details.</w:t>
      </w:r>
    </w:p>
    <w:p>
      <w:pPr>
        <w:pStyle w:val="ListBullet"/>
        <w:spacing w:before="0" w:after="60" w:line="259" w:lineRule="auto"/>
      </w:pPr>
      <w:r>
        <w:rPr>
          <w:rFonts w:ascii="DejaVu Sans" w:hAnsi="DejaVu Sans"/>
          <w:color w:val="111111"/>
          <w:sz w:val="20"/>
        </w:rPr>
        <w:t>Confirm the design remains readable at phone size.</w:t>
      </w:r>
    </w:p>
    <w:p>
      <w:pPr>
        <w:pStyle w:val="ListBullet"/>
        <w:spacing w:before="0" w:after="60" w:line="259" w:lineRule="auto"/>
      </w:pPr>
      <w:r>
        <w:rPr>
          <w:rFonts w:ascii="DejaVu Sans" w:hAnsi="DejaVu Sans"/>
          <w:color w:val="111111"/>
          <w:sz w:val="20"/>
        </w:rPr>
        <w:t>Verify contact and social information before publishing.</w:t>
      </w:r>
    </w:p>
    <w:p>
      <w:pPr>
        <w:pStyle w:val="Heading2"/>
        <w:keepNext/>
        <w:spacing w:before="140" w:after="100"/>
      </w:pPr>
      <w:r>
        <w:rPr>
          <w:rFonts w:ascii="DejaVu Sans" w:hAnsi="DejaVu Sans"/>
          <w:b/>
          <w:color w:val="000000"/>
          <w:sz w:val="26"/>
        </w:rPr>
        <w:t>Core Asset Set</w:t>
      </w:r>
    </w:p>
    <w:p>
      <w:pPr>
        <w:spacing w:before="0" w:after="140" w:line="269" w:lineRule="auto"/>
      </w:pPr>
      <w:r>
        <w:rPr>
          <w:rFonts w:ascii="DejaVu Sans" w:hAnsi="DejaVu Sans"/>
          <w:color w:val="111111"/>
          <w:sz w:val="21"/>
        </w:rPr>
        <w:t>Maintain the S&amp;B mark, full-band lockup, duo lockup, white-on-transparent and black-on-transparent logo files, square profile image, show templates, and the current approved group photo in one shared folder. Preferred logo formats are SVG and PDF for print, plus transparent PNG for everyday digital use.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66666"/>
        <w:sz w:val="16"/>
      </w:rPr>
      <w:t>Sarah &amp; the Buds  |  Visual Identity Guide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Sarah and the Buds Visual Identity Guide</dc:title>
  <dc:subject>Logo, typography, color, photography, and promotional standards</dc:subject>
  <dc:creator>Sarah &amp; the Buds</dc:creator>
  <cp:keywords>Sarah and the Buds, S&amp;B, style guide, brand guide, music</cp:keywords>
  <dc:description>generated by python-docx</dc:description>
  <cp:lastModifiedBy/>
  <cp:revision>1</cp:revision>
  <dcterms:created xsi:type="dcterms:W3CDTF">2013-12-23T23:15:00Z</dcterms:created>
  <dcterms:modified xsi:type="dcterms:W3CDTF">2013-12-23T23:15:00Z</dcterms:modified>
  <cp:category/>
</cp:coreProperties>
</file>