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0"/>
          <w:szCs w:val="30"/>
        </w:rPr>
        <w:t xml:space="preserve">Delaware HOA Opportunity Research — Sample for Bill</w:t>
      </w:r>
    </w:p>
    <w:p>
      <w:pPr>
        <w:pBdr>
          <w:bottom w:val="single" w:color="1F3A5F" w:sz="8" w:space="6"/>
        </w:pBdr>
        <w:spacing w:after="40"/>
      </w:pPr>
      <w:r>
        <w:rPr>
          <w:color w:val="6B7A8F"/>
          <w:sz w:val="18"/>
          <w:szCs w:val="18"/>
        </w:rPr>
        <w:t xml:space="preserve">Knight Property Services · prepared by Buddy · Aug 10, 2026</w:t>
      </w:r>
    </w:p>
    <w:p>
      <w:pPr>
        <w:spacing w:after="160"/>
      </w:pPr>
      <w:r>
        <w:t xml:space="preserve">This is a first research sample from a new Delaware HOA tracker (“CRM”) covering </w:t>
      </w:r>
      <w:r>
        <w:rPr>
          <w:b/>
          <w:bCs/>
        </w:rPr>
        <w:t xml:space="preserve">178 Kent County associations</w:t>
      </w:r>
      <w:r>
        <w:t xml:space="preserve"> plus New Castle additions. For each community we pull public info useful for outreach — management status, board contact, size/amenities, dues, and any timely signal. Below are the first researched </w:t>
      </w:r>
      <w:r>
        <w:rPr>
          <w:b/>
          <w:bCs/>
        </w:rPr>
        <w:t xml:space="preserve">priority “win” targets</w:t>
      </w:r>
      <w:r>
        <w:t xml:space="preserve"> (mostly self-managed — no incumbent manager to displace). The goal: is this useful enough to keep building out?</w:t>
      </w:r>
    </w:p>
    <w:p>
      <w:pPr>
        <w:pStyle w:val="Heading2"/>
        <w:spacing w:after="120" w:before="240"/>
      </w:pPr>
      <w:r>
        <w:rPr>
          <w:b/>
          <w:bCs/>
          <w:color w:val="1F3A5F"/>
        </w:rPr>
        <w:t xml:space="preserve">Researched targets (first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1650"/>
        <w:gridCol w:w="2050"/>
        <w:gridCol w:w="2560"/>
      </w:tblGrid>
      <w:tr>
        <w:trPr>
          <w:tblHeader/>
        </w:trPr>
        <w:tc>
          <w:tcPr>
            <w:tcW w:type="dxa" w:w="1750"/>
            <w:shd w:fill="1F3A5F" w:color="auto" w:val="clear"/>
            <w:tcMar>
              <w:top w:type="dxa" w:w="60"/>
              <w:left w:type="dxa" w:w="90"/>
              <w:bottom w:type="dxa" w:w="60"/>
              <w:right w:type="dxa" w:w="90"/>
            </w:tcMar>
          </w:tcPr>
          <w:p>
            <w:r>
              <w:rPr>
                <w:b/>
                <w:bCs/>
                <w:color w:val="FFFFFF"/>
                <w:sz w:val="18"/>
                <w:szCs w:val="18"/>
              </w:rPr>
              <w:t xml:space="preserve">Community</w:t>
            </w:r>
          </w:p>
        </w:tc>
        <w:tc>
          <w:tcPr>
            <w:tcW w:type="dxa" w:w="1350"/>
            <w:shd w:fill="1F3A5F" w:color="auto" w:val="clear"/>
            <w:tcMar>
              <w:top w:type="dxa" w:w="60"/>
              <w:left w:type="dxa" w:w="90"/>
              <w:bottom w:type="dxa" w:w="60"/>
              <w:right w:type="dxa" w:w="90"/>
            </w:tcMar>
          </w:tcPr>
          <w:p>
            <w:r>
              <w:rPr>
                <w:b/>
                <w:bCs/>
                <w:color w:val="FFFFFF"/>
                <w:sz w:val="18"/>
                <w:szCs w:val="18"/>
              </w:rPr>
              <w:t xml:space="preserve">Location</w:t>
            </w:r>
          </w:p>
        </w:tc>
        <w:tc>
          <w:tcPr>
            <w:tcW w:type="dxa" w:w="1650"/>
            <w:shd w:fill="1F3A5F" w:color="auto" w:val="clear"/>
            <w:tcMar>
              <w:top w:type="dxa" w:w="60"/>
              <w:left w:type="dxa" w:w="90"/>
              <w:bottom w:type="dxa" w:w="60"/>
              <w:right w:type="dxa" w:w="90"/>
            </w:tcMar>
          </w:tcPr>
          <w:p>
            <w:r>
              <w:rPr>
                <w:b/>
                <w:bCs/>
                <w:color w:val="FFFFFF"/>
                <w:sz w:val="18"/>
                <w:szCs w:val="18"/>
              </w:rPr>
              <w:t xml:space="preserve">Mgmt status</w:t>
            </w:r>
          </w:p>
        </w:tc>
        <w:tc>
          <w:tcPr>
            <w:tcW w:type="dxa" w:w="2050"/>
            <w:shd w:fill="1F3A5F" w:color="auto" w:val="clear"/>
            <w:tcMar>
              <w:top w:type="dxa" w:w="60"/>
              <w:left w:type="dxa" w:w="90"/>
              <w:bottom w:type="dxa" w:w="60"/>
              <w:right w:type="dxa" w:w="90"/>
            </w:tcMar>
          </w:tcPr>
          <w:p>
            <w:r>
              <w:rPr>
                <w:b/>
                <w:bCs/>
                <w:color w:val="FFFFFF"/>
                <w:sz w:val="18"/>
                <w:szCs w:val="18"/>
              </w:rPr>
              <w:t xml:space="preserve">Board contact</w:t>
            </w:r>
          </w:p>
        </w:tc>
        <w:tc>
          <w:tcPr>
            <w:tcW w:type="dxa" w:w="2560"/>
            <w:shd w:fill="1F3A5F" w:color="auto" w:val="clear"/>
            <w:tcMar>
              <w:top w:type="dxa" w:w="60"/>
              <w:left w:type="dxa" w:w="90"/>
              <w:bottom w:type="dxa" w:w="60"/>
              <w:right w:type="dxa" w:w="90"/>
            </w:tcMar>
          </w:tcPr>
          <w:p>
            <w:r>
              <w:rPr>
                <w:b/>
                <w:bCs/>
                <w:color w:val="FFFFFF"/>
                <w:sz w:val="18"/>
                <w:szCs w:val="18"/>
              </w:rPr>
              <w:t xml:space="preserve">Why now / angle for Bill</w:t>
            </w:r>
          </w:p>
        </w:tc>
      </w:tr>
      <w:tr>
        <w:tc>
          <w:tcPr>
            <w:tcW w:type="dxa" w:w="1750"/>
            <w:shd w:fill="EAF0F6" w:color="auto" w:val="clear"/>
            <w:tcMar>
              <w:top w:type="dxa" w:w="60"/>
              <w:left w:type="dxa" w:w="90"/>
              <w:bottom w:type="dxa" w:w="60"/>
              <w:right w:type="dxa" w:w="90"/>
            </w:tcMar>
          </w:tcPr>
          <w:p>
            <w:r>
              <w:rPr>
                <w:b w:val="false"/>
                <w:bCs w:val="false"/>
                <w:color w:val="222222"/>
                <w:sz w:val="18"/>
                <w:szCs w:val="18"/>
              </w:rPr>
              <w:t xml:space="preserve">Church Creek</w:t>
            </w:r>
          </w:p>
        </w:tc>
        <w:tc>
          <w:tcPr>
            <w:tcW w:type="dxa" w:w="1350"/>
            <w:shd w:fill="EAF0F6" w:color="auto" w:val="clear"/>
            <w:tcMar>
              <w:top w:type="dxa" w:w="60"/>
              <w:left w:type="dxa" w:w="90"/>
              <w:bottom w:type="dxa" w:w="60"/>
              <w:right w:type="dxa" w:w="90"/>
            </w:tcMar>
          </w:tcPr>
          <w:p>
            <w:r>
              <w:rPr>
                <w:b w:val="false"/>
                <w:bCs w:val="false"/>
                <w:color w:val="222222"/>
                <w:sz w:val="18"/>
                <w:szCs w:val="18"/>
              </w:rPr>
              <w:t xml:space="preserve">Magnolia (Kent)</w:t>
            </w:r>
          </w:p>
        </w:tc>
        <w:tc>
          <w:tcPr>
            <w:tcW w:type="dxa" w:w="1650"/>
            <w:shd w:fill="EAF0F6" w:color="auto" w:val="clear"/>
            <w:tcMar>
              <w:top w:type="dxa" w:w="60"/>
              <w:left w:type="dxa" w:w="90"/>
              <w:bottom w:type="dxa" w:w="60"/>
              <w:right w:type="dxa" w:w="90"/>
            </w:tcMar>
          </w:tcPr>
          <w:p>
            <w:r>
              <w:rPr>
                <w:b w:val="false"/>
                <w:bCs w:val="false"/>
                <w:color w:val="222222"/>
                <w:sz w:val="18"/>
                <w:szCs w:val="18"/>
              </w:rPr>
              <w:t xml:space="preserve">Self-managed</w:t>
            </w:r>
          </w:p>
        </w:tc>
        <w:tc>
          <w:tcPr>
            <w:tcW w:type="dxa" w:w="2050"/>
            <w:shd w:fill="EAF0F6" w:color="auto" w:val="clear"/>
            <w:tcMar>
              <w:top w:type="dxa" w:w="60"/>
              <w:left w:type="dxa" w:w="90"/>
              <w:bottom w:type="dxa" w:w="60"/>
              <w:right w:type="dxa" w:w="90"/>
            </w:tcMar>
          </w:tcPr>
          <w:p>
            <w:r>
              <w:rPr>
                <w:b w:val="false"/>
                <w:bCs w:val="false"/>
                <w:color w:val="222222"/>
                <w:sz w:val="18"/>
                <w:szCs w:val="18"/>
              </w:rPr>
              <w:t xml:space="preserve">churchcreekhoa@gmail.com</w:t>
            </w:r>
          </w:p>
        </w:tc>
        <w:tc>
          <w:tcPr>
            <w:tcW w:type="dxa" w:w="2560"/>
            <w:shd w:fill="EAF0F6" w:color="auto" w:val="clear"/>
            <w:tcMar>
              <w:top w:type="dxa" w:w="60"/>
              <w:left w:type="dxa" w:w="90"/>
              <w:bottom w:type="dxa" w:w="60"/>
              <w:right w:type="dxa" w:w="90"/>
            </w:tcMar>
          </w:tcPr>
          <w:p>
            <w:r>
              <w:rPr>
                <w:b w:val="false"/>
                <w:bCs w:val="false"/>
                <w:color w:val="222222"/>
                <w:sz w:val="18"/>
                <w:szCs w:val="18"/>
              </w:rPr>
              <w:t xml:space="preserve">Organized DIY board — pitch offloading financials/vendor &amp; compliance work, not a full takeover.</w:t>
            </w:r>
          </w:p>
        </w:tc>
      </w:tr>
      <w:tr>
        <w:tc>
          <w:tcPr>
            <w:tcW w:type="dxa" w:w="1750"/>
            <w:shd w:fill="FFFFFF" w:color="auto" w:val="clear"/>
            <w:tcMar>
              <w:top w:type="dxa" w:w="60"/>
              <w:left w:type="dxa" w:w="90"/>
              <w:bottom w:type="dxa" w:w="60"/>
              <w:right w:type="dxa" w:w="90"/>
            </w:tcMar>
          </w:tcPr>
          <w:p>
            <w:r>
              <w:rPr>
                <w:b w:val="false"/>
                <w:bCs w:val="false"/>
                <w:color w:val="222222"/>
                <w:sz w:val="18"/>
                <w:szCs w:val="18"/>
              </w:rPr>
              <w:t xml:space="preserve">Hunters Ridge</w:t>
            </w:r>
          </w:p>
        </w:tc>
        <w:tc>
          <w:tcPr>
            <w:tcW w:type="dxa" w:w="1350"/>
            <w:shd w:fill="FFFFFF" w:color="auto" w:val="clear"/>
            <w:tcMar>
              <w:top w:type="dxa" w:w="60"/>
              <w:left w:type="dxa" w:w="90"/>
              <w:bottom w:type="dxa" w:w="60"/>
              <w:right w:type="dxa" w:w="90"/>
            </w:tcMar>
          </w:tcPr>
          <w:p>
            <w:r>
              <w:rPr>
                <w:b w:val="false"/>
                <w:bCs w:val="false"/>
                <w:color w:val="222222"/>
                <w:sz w:val="18"/>
                <w:szCs w:val="18"/>
              </w:rPr>
              <w:t xml:space="preserve">Dover (Kent)</w:t>
            </w:r>
          </w:p>
        </w:tc>
        <w:tc>
          <w:tcPr>
            <w:tcW w:type="dxa" w:w="1650"/>
            <w:shd w:fill="FFFFFF" w:color="auto" w:val="clear"/>
            <w:tcMar>
              <w:top w:type="dxa" w:w="60"/>
              <w:left w:type="dxa" w:w="90"/>
              <w:bottom w:type="dxa" w:w="60"/>
              <w:right w:type="dxa" w:w="90"/>
            </w:tcMar>
          </w:tcPr>
          <w:p>
            <w:r>
              <w:rPr>
                <w:b w:val="false"/>
                <w:bCs w:val="false"/>
                <w:color w:val="222222"/>
                <w:sz w:val="18"/>
                <w:szCs w:val="18"/>
              </w:rPr>
              <w:t xml:space="preserve">Self-managed (verify)</w:t>
            </w:r>
          </w:p>
        </w:tc>
        <w:tc>
          <w:tcPr>
            <w:tcW w:type="dxa" w:w="2050"/>
            <w:shd w:fill="FFFFFF" w:color="auto" w:val="clear"/>
            <w:tcMar>
              <w:top w:type="dxa" w:w="60"/>
              <w:left w:type="dxa" w:w="90"/>
              <w:bottom w:type="dxa" w:w="60"/>
              <w:right w:type="dxa" w:w="90"/>
            </w:tcMar>
          </w:tcPr>
          <w:p>
            <w:r>
              <w:rPr>
                <w:b w:val="false"/>
                <w:bCs w:val="false"/>
                <w:color w:val="222222"/>
                <w:sz w:val="18"/>
                <w:szCs w:val="18"/>
              </w:rPr>
              <w:t xml:space="preserve">Pres. Urshla Dowdy — urshladowdy@gmail.com</w:t>
            </w:r>
          </w:p>
        </w:tc>
        <w:tc>
          <w:tcPr>
            <w:tcW w:type="dxa" w:w="2560"/>
            <w:shd w:fill="FFFFFF" w:color="auto" w:val="clear"/>
            <w:tcMar>
              <w:top w:type="dxa" w:w="60"/>
              <w:left w:type="dxa" w:w="90"/>
              <w:bottom w:type="dxa" w:w="60"/>
              <w:right w:type="dxa" w:w="90"/>
            </w:tcMar>
          </w:tcPr>
          <w:p>
            <w:r>
              <w:rPr>
                <w:b w:val="false"/>
                <w:bCs w:val="false"/>
                <w:color w:val="222222"/>
                <w:sz w:val="18"/>
                <w:szCs w:val="18"/>
              </w:rPr>
              <w:t xml:space="preserve">NEW board elected 4/2025 + pool &amp; clubhouse to run — prime moment to offer professional management.</w:t>
            </w:r>
          </w:p>
        </w:tc>
      </w:tr>
      <w:tr>
        <w:tc>
          <w:tcPr>
            <w:tcW w:type="dxa" w:w="1750"/>
            <w:shd w:fill="EAF0F6" w:color="auto" w:val="clear"/>
            <w:tcMar>
              <w:top w:type="dxa" w:w="60"/>
              <w:left w:type="dxa" w:w="90"/>
              <w:bottom w:type="dxa" w:w="60"/>
              <w:right w:type="dxa" w:w="90"/>
            </w:tcMar>
          </w:tcPr>
          <w:p>
            <w:r>
              <w:rPr>
                <w:b w:val="false"/>
                <w:bCs w:val="false"/>
                <w:color w:val="222222"/>
                <w:sz w:val="18"/>
                <w:szCs w:val="18"/>
              </w:rPr>
              <w:t xml:space="preserve">Lakeshore Village West</w:t>
            </w:r>
          </w:p>
        </w:tc>
        <w:tc>
          <w:tcPr>
            <w:tcW w:type="dxa" w:w="1350"/>
            <w:shd w:fill="EAF0F6" w:color="auto" w:val="clear"/>
            <w:tcMar>
              <w:top w:type="dxa" w:w="60"/>
              <w:left w:type="dxa" w:w="90"/>
              <w:bottom w:type="dxa" w:w="60"/>
              <w:right w:type="dxa" w:w="90"/>
            </w:tcMar>
          </w:tcPr>
          <w:p>
            <w:r>
              <w:rPr>
                <w:b w:val="false"/>
                <w:bCs w:val="false"/>
                <w:color w:val="222222"/>
                <w:sz w:val="18"/>
                <w:szCs w:val="18"/>
              </w:rPr>
              <w:t xml:space="preserve">Dover (Kent)</w:t>
            </w:r>
          </w:p>
        </w:tc>
        <w:tc>
          <w:tcPr>
            <w:tcW w:type="dxa" w:w="1650"/>
            <w:shd w:fill="EAF0F6" w:color="auto" w:val="clear"/>
            <w:tcMar>
              <w:top w:type="dxa" w:w="60"/>
              <w:left w:type="dxa" w:w="90"/>
              <w:bottom w:type="dxa" w:w="60"/>
              <w:right w:type="dxa" w:w="90"/>
            </w:tcMar>
          </w:tcPr>
          <w:p>
            <w:r>
              <w:rPr>
                <w:b w:val="false"/>
                <w:bCs w:val="false"/>
                <w:color w:val="222222"/>
                <w:sz w:val="18"/>
                <w:szCs w:val="18"/>
              </w:rPr>
              <w:t xml:space="preserve">Self-managed</w:t>
            </w:r>
          </w:p>
        </w:tc>
        <w:tc>
          <w:tcPr>
            <w:tcW w:type="dxa" w:w="2050"/>
            <w:shd w:fill="EAF0F6" w:color="auto" w:val="clear"/>
            <w:tcMar>
              <w:top w:type="dxa" w:w="60"/>
              <w:left w:type="dxa" w:w="90"/>
              <w:bottom w:type="dxa" w:w="60"/>
              <w:right w:type="dxa" w:w="90"/>
            </w:tcMar>
          </w:tcPr>
          <w:p>
            <w:r>
              <w:rPr>
                <w:b w:val="false"/>
                <w:bCs w:val="false"/>
                <w:color w:val="222222"/>
                <w:sz w:val="18"/>
                <w:szCs w:val="18"/>
              </w:rPr>
              <w:t xml:space="preserve">lakeshorevillagewest@gmail.com</w:t>
            </w:r>
          </w:p>
        </w:tc>
        <w:tc>
          <w:tcPr>
            <w:tcW w:type="dxa" w:w="2560"/>
            <w:shd w:fill="EAF0F6" w:color="auto" w:val="clear"/>
            <w:tcMar>
              <w:top w:type="dxa" w:w="60"/>
              <w:left w:type="dxa" w:w="90"/>
              <w:bottom w:type="dxa" w:w="60"/>
              <w:right w:type="dxa" w:w="90"/>
            </w:tcMar>
          </w:tcPr>
          <w:p>
            <w:r>
              <w:rPr>
                <w:b w:val="false"/>
                <w:bCs w:val="false"/>
                <w:color w:val="222222"/>
                <w:sz w:val="18"/>
                <w:szCs w:val="18"/>
              </w:rPr>
              <w:t xml:space="preserve">Contactable self-managed board — offer to take over day-to-day management.</w:t>
            </w:r>
          </w:p>
        </w:tc>
      </w:tr>
      <w:tr>
        <w:tc>
          <w:tcPr>
            <w:tcW w:type="dxa" w:w="1750"/>
            <w:shd w:fill="FFFFFF" w:color="auto" w:val="clear"/>
            <w:tcMar>
              <w:top w:type="dxa" w:w="60"/>
              <w:left w:type="dxa" w:w="90"/>
              <w:bottom w:type="dxa" w:w="60"/>
              <w:right w:type="dxa" w:w="90"/>
            </w:tcMar>
          </w:tcPr>
          <w:p>
            <w:r>
              <w:rPr>
                <w:b w:val="false"/>
                <w:bCs w:val="false"/>
                <w:color w:val="222222"/>
                <w:sz w:val="18"/>
                <w:szCs w:val="18"/>
              </w:rPr>
              <w:t xml:space="preserve">Estates of Wild Quail</w:t>
            </w:r>
          </w:p>
        </w:tc>
        <w:tc>
          <w:tcPr>
            <w:tcW w:type="dxa" w:w="1350"/>
            <w:shd w:fill="FFFFFF" w:color="auto" w:val="clear"/>
            <w:tcMar>
              <w:top w:type="dxa" w:w="60"/>
              <w:left w:type="dxa" w:w="90"/>
              <w:bottom w:type="dxa" w:w="60"/>
              <w:right w:type="dxa" w:w="90"/>
            </w:tcMar>
          </w:tcPr>
          <w:p>
            <w:r>
              <w:rPr>
                <w:b w:val="false"/>
                <w:bCs w:val="false"/>
                <w:color w:val="222222"/>
                <w:sz w:val="18"/>
                <w:szCs w:val="18"/>
              </w:rPr>
              <w:t xml:space="preserve">Camden-Wyoming (Kent)</w:t>
            </w:r>
          </w:p>
        </w:tc>
        <w:tc>
          <w:tcPr>
            <w:tcW w:type="dxa" w:w="1650"/>
            <w:shd w:fill="FFFFFF" w:color="auto" w:val="clear"/>
            <w:tcMar>
              <w:top w:type="dxa" w:w="60"/>
              <w:left w:type="dxa" w:w="90"/>
              <w:bottom w:type="dxa" w:w="60"/>
              <w:right w:type="dxa" w:w="90"/>
            </w:tcMar>
          </w:tcPr>
          <w:p>
            <w:r>
              <w:rPr>
                <w:b w:val="false"/>
                <w:bCs w:val="false"/>
                <w:color w:val="222222"/>
                <w:sz w:val="18"/>
                <w:szCs w:val="18"/>
              </w:rPr>
              <w:t xml:space="preserve">Self-managed (verify)</w:t>
            </w:r>
          </w:p>
        </w:tc>
        <w:tc>
          <w:tcPr>
            <w:tcW w:type="dxa" w:w="2050"/>
            <w:shd w:fill="FFFFFF" w:color="auto" w:val="clear"/>
            <w:tcMar>
              <w:top w:type="dxa" w:w="60"/>
              <w:left w:type="dxa" w:w="90"/>
              <w:bottom w:type="dxa" w:w="60"/>
              <w:right w:type="dxa" w:w="90"/>
            </w:tcMar>
          </w:tcPr>
          <w:p>
            <w:r>
              <w:rPr>
                <w:b w:val="false"/>
                <w:bCs w:val="false"/>
                <w:color w:val="222222"/>
                <w:sz w:val="18"/>
                <w:szCs w:val="18"/>
              </w:rPr>
              <w:t xml:space="preserve">via DE HOA registry</w:t>
            </w:r>
          </w:p>
        </w:tc>
        <w:tc>
          <w:tcPr>
            <w:tcW w:type="dxa" w:w="2560"/>
            <w:shd w:fill="FFFFFF" w:color="auto" w:val="clear"/>
            <w:tcMar>
              <w:top w:type="dxa" w:w="60"/>
              <w:left w:type="dxa" w:w="90"/>
              <w:bottom w:type="dxa" w:w="60"/>
              <w:right w:type="dxa" w:w="90"/>
            </w:tcMar>
          </w:tcPr>
          <w:p>
            <w:r>
              <w:rPr>
                <w:b w:val="false"/>
                <w:bCs w:val="false"/>
                <w:color w:val="222222"/>
                <w:sz w:val="18"/>
                <w:szCs w:val="18"/>
              </w:rPr>
              <w:t xml:space="preserve">Golf/country-club community; verify mgmt, pull board mailing contact, listings show dues.</w:t>
            </w:r>
          </w:p>
        </w:tc>
      </w:tr>
      <w:tr>
        <w:tc>
          <w:tcPr>
            <w:tcW w:type="dxa" w:w="1750"/>
            <w:shd w:fill="EAF0F6" w:color="auto" w:val="clear"/>
            <w:tcMar>
              <w:top w:type="dxa" w:w="60"/>
              <w:left w:type="dxa" w:w="90"/>
              <w:bottom w:type="dxa" w:w="60"/>
              <w:right w:type="dxa" w:w="90"/>
            </w:tcMar>
          </w:tcPr>
          <w:p>
            <w:r>
              <w:rPr>
                <w:b w:val="false"/>
                <w:bCs w:val="false"/>
                <w:color w:val="222222"/>
                <w:sz w:val="18"/>
                <w:szCs w:val="18"/>
              </w:rPr>
              <w:t xml:space="preserve">Providence Hills</w:t>
            </w:r>
          </w:p>
        </w:tc>
        <w:tc>
          <w:tcPr>
            <w:tcW w:type="dxa" w:w="1350"/>
            <w:shd w:fill="EAF0F6" w:color="auto" w:val="clear"/>
            <w:tcMar>
              <w:top w:type="dxa" w:w="60"/>
              <w:left w:type="dxa" w:w="90"/>
              <w:bottom w:type="dxa" w:w="60"/>
              <w:right w:type="dxa" w:w="90"/>
            </w:tcMar>
          </w:tcPr>
          <w:p>
            <w:r>
              <w:rPr>
                <w:b w:val="false"/>
                <w:bCs w:val="false"/>
                <w:color w:val="222222"/>
                <w:sz w:val="18"/>
                <w:szCs w:val="18"/>
              </w:rPr>
              <w:t xml:space="preserve">Dover (Kent)</w:t>
            </w:r>
          </w:p>
        </w:tc>
        <w:tc>
          <w:tcPr>
            <w:tcW w:type="dxa" w:w="1650"/>
            <w:shd w:fill="EAF0F6" w:color="auto" w:val="clear"/>
            <w:tcMar>
              <w:top w:type="dxa" w:w="60"/>
              <w:left w:type="dxa" w:w="90"/>
              <w:bottom w:type="dxa" w:w="60"/>
              <w:right w:type="dxa" w:w="90"/>
            </w:tcMar>
          </w:tcPr>
          <w:p>
            <w:r>
              <w:rPr>
                <w:b w:val="false"/>
                <w:bCs w:val="false"/>
                <w:color w:val="222222"/>
                <w:sz w:val="18"/>
                <w:szCs w:val="18"/>
              </w:rPr>
              <w:t xml:space="preserve">Self-managed (own site)</w:t>
            </w:r>
          </w:p>
        </w:tc>
        <w:tc>
          <w:tcPr>
            <w:tcW w:type="dxa" w:w="2050"/>
            <w:shd w:fill="EAF0F6" w:color="auto" w:val="clear"/>
            <w:tcMar>
              <w:top w:type="dxa" w:w="60"/>
              <w:left w:type="dxa" w:w="90"/>
              <w:bottom w:type="dxa" w:w="60"/>
              <w:right w:type="dxa" w:w="90"/>
            </w:tcMar>
          </w:tcPr>
          <w:p>
            <w:r>
              <w:rPr>
                <w:b w:val="false"/>
                <w:bCs w:val="false"/>
                <w:color w:val="222222"/>
                <w:sz w:val="18"/>
                <w:szCs w:val="18"/>
              </w:rPr>
              <w:t xml:space="preserve">via DE HOA registry</w:t>
            </w:r>
          </w:p>
        </w:tc>
        <w:tc>
          <w:tcPr>
            <w:tcW w:type="dxa" w:w="2560"/>
            <w:shd w:fill="EAF0F6" w:color="auto" w:val="clear"/>
            <w:tcMar>
              <w:top w:type="dxa" w:w="60"/>
              <w:left w:type="dxa" w:w="90"/>
              <w:bottom w:type="dxa" w:w="60"/>
              <w:right w:type="dxa" w:w="90"/>
            </w:tcMar>
          </w:tcPr>
          <w:p>
            <w:r>
              <w:rPr>
                <w:b w:val="false"/>
                <w:bCs w:val="false"/>
                <w:color w:val="222222"/>
                <w:sz w:val="18"/>
                <w:szCs w:val="18"/>
              </w:rPr>
              <w:t xml:space="preserve">Real association site; pull board contact and confirm dues/needs.</w:t>
            </w:r>
          </w:p>
        </w:tc>
      </w:tr>
      <w:tr>
        <w:tc>
          <w:tcPr>
            <w:tcW w:type="dxa" w:w="1750"/>
            <w:shd w:fill="FFFFFF" w:color="auto" w:val="clear"/>
            <w:tcMar>
              <w:top w:type="dxa" w:w="60"/>
              <w:left w:type="dxa" w:w="90"/>
              <w:bottom w:type="dxa" w:w="60"/>
              <w:right w:type="dxa" w:w="90"/>
            </w:tcMar>
          </w:tcPr>
          <w:p>
            <w:r>
              <w:rPr>
                <w:b w:val="false"/>
                <w:bCs w:val="false"/>
                <w:color w:val="222222"/>
                <w:sz w:val="18"/>
                <w:szCs w:val="18"/>
              </w:rPr>
              <w:t xml:space="preserve">Mermaid Run</w:t>
            </w:r>
          </w:p>
        </w:tc>
        <w:tc>
          <w:tcPr>
            <w:tcW w:type="dxa" w:w="1350"/>
            <w:shd w:fill="FFFFFF" w:color="auto" w:val="clear"/>
            <w:tcMar>
              <w:top w:type="dxa" w:w="60"/>
              <w:left w:type="dxa" w:w="90"/>
              <w:bottom w:type="dxa" w:w="60"/>
              <w:right w:type="dxa" w:w="90"/>
            </w:tcMar>
          </w:tcPr>
          <w:p>
            <w:r>
              <w:rPr>
                <w:b w:val="false"/>
                <w:bCs w:val="false"/>
                <w:color w:val="222222"/>
                <w:sz w:val="18"/>
                <w:szCs w:val="18"/>
              </w:rPr>
              <w:t xml:space="preserve">Pike Creek, Wilmington (New Castle)</w:t>
            </w:r>
          </w:p>
        </w:tc>
        <w:tc>
          <w:tcPr>
            <w:tcW w:type="dxa" w:w="1650"/>
            <w:shd w:fill="FFFFFF" w:color="auto" w:val="clear"/>
            <w:tcMar>
              <w:top w:type="dxa" w:w="60"/>
              <w:left w:type="dxa" w:w="90"/>
              <w:bottom w:type="dxa" w:w="60"/>
              <w:right w:type="dxa" w:w="90"/>
            </w:tcMar>
          </w:tcPr>
          <w:p>
            <w:r>
              <w:rPr>
                <w:b w:val="false"/>
                <w:bCs w:val="false"/>
                <w:color w:val="222222"/>
                <w:sz w:val="18"/>
                <w:szCs w:val="18"/>
              </w:rPr>
              <w:t xml:space="preserve">Competitor-managed (RE/MAX Assoc.)</w:t>
            </w:r>
          </w:p>
        </w:tc>
        <w:tc>
          <w:tcPr>
            <w:tcW w:type="dxa" w:w="2050"/>
            <w:shd w:fill="FFFFFF" w:color="auto" w:val="clear"/>
            <w:tcMar>
              <w:top w:type="dxa" w:w="60"/>
              <w:left w:type="dxa" w:w="90"/>
              <w:bottom w:type="dxa" w:w="60"/>
              <w:right w:type="dxa" w:w="90"/>
            </w:tcMar>
          </w:tcPr>
          <w:p>
            <w:r>
              <w:rPr>
                <w:b w:val="false"/>
                <w:bCs w:val="false"/>
                <w:color w:val="222222"/>
                <w:sz w:val="18"/>
                <w:szCs w:val="18"/>
              </w:rPr>
              <w:t xml:space="preserve">Board not public</w:t>
            </w:r>
          </w:p>
        </w:tc>
        <w:tc>
          <w:tcPr>
            <w:tcW w:type="dxa" w:w="2560"/>
            <w:shd w:fill="FFFFFF" w:color="auto" w:val="clear"/>
            <w:tcMar>
              <w:top w:type="dxa" w:w="60"/>
              <w:left w:type="dxa" w:w="90"/>
              <w:bottom w:type="dxa" w:w="60"/>
              <w:right w:type="dxa" w:w="90"/>
            </w:tcMar>
          </w:tcPr>
          <w:p>
            <w:r>
              <w:rPr>
                <w:b w:val="false"/>
                <w:bCs w:val="false"/>
                <w:color w:val="222222"/>
                <w:sz w:val="18"/>
                <w:szCs w:val="18"/>
              </w:rPr>
              <w:t xml:space="preserve">WARM — local intel of manager friction + long pool closure = a switch opportunity.</w:t>
            </w:r>
          </w:p>
        </w:tc>
      </w:tr>
    </w:tbl>
    <w:p>
      <w:pPr>
        <w:spacing w:after="200" w:before="100"/>
      </w:pPr>
      <w:r>
        <w:rPr>
          <w:i/>
          <w:iCs/>
          <w:color w:val="6B7A8F"/>
          <w:sz w:val="18"/>
          <w:szCs w:val="18"/>
        </w:rPr>
        <w:t xml:space="preserve">“Verify” = management status needs one more confirmation. “Via DE HOA registry” = board name/title/mailing address available from the state’s registered-HOA list.</w:t>
      </w:r>
    </w:p>
    <w:p>
      <w:pPr>
        <w:pStyle w:val="Heading2"/>
        <w:spacing w:after="120" w:before="240"/>
      </w:pPr>
      <w:r>
        <w:rPr>
          <w:b/>
          <w:bCs/>
          <w:color w:val="1F3A5F"/>
        </w:rPr>
        <w:t xml:space="preserve">What the research also caught (data quality)</w:t>
      </w:r>
    </w:p>
    <w:p>
      <w:pPr>
        <w:spacing w:after="120"/>
      </w:pPr>
      <w:r>
        <w:rPr>
          <w:b/>
          <w:bCs/>
        </w:rPr>
        <w:t xml:space="preserve">Corrections it surfaced beyond the raw list:</w:t>
      </w:r>
    </w:p>
    <w:p>
      <w:pPr>
        <w:pStyle w:val="ListParagraph"/>
        <w:numPr>
          <w:ilvl w:val="0"/>
          <w:numId w:val="1"/>
        </w:numPr>
      </w:pPr>
      <w:r>
        <w:rPr>
          <w:b/>
          <w:bCs/>
        </w:rPr>
        <w:t xml:space="preserve">Reserve at Chestnut Ridge (Magnolia) — </w:t>
      </w:r>
      <w:r>
        <w:t xml:space="preserve">was listed as self-managed, but it just hired FirstService Residential (national) on 4/16/2026. Not a fit now — removed from targets.</w:t>
      </w:r>
    </w:p>
    <w:p>
      <w:pPr>
        <w:pStyle w:val="ListParagraph"/>
        <w:numPr>
          <w:ilvl w:val="0"/>
          <w:numId w:val="1"/>
        </w:numPr>
      </w:pPr>
      <w:r>
        <w:rPr>
          <w:b/>
          <w:bCs/>
        </w:rPr>
        <w:t xml:space="preserve">Wrong-state website matches — </w:t>
      </w:r>
      <w:r>
        <w:t xml:space="preserve">three generic names in the raw list were auto-matched to same-named HOAs in the wrong state: Pine Ridge → Rhode Island, Turnberry → California, Westfield → Louisiana. Flagged for correct Delaware research.</w:t>
      </w:r>
    </w:p>
    <w:p>
      <w:pPr>
        <w:pStyle w:val="ListParagraph"/>
        <w:numPr>
          <w:ilvl w:val="0"/>
          <w:numId w:val="1"/>
        </w:numPr>
        <w:spacing w:after="160"/>
      </w:pPr>
      <w:r>
        <w:rPr>
          <w:b/>
          <w:bCs/>
        </w:rPr>
        <w:t xml:space="preserve">Stonewater Creek — </w:t>
      </w:r>
      <w:r>
        <w:t xml:space="preserve">needs Kent-vs-Sussex disambiguation (there’s a Millsboro POA with public fee complaints) before acting.</w:t>
      </w:r>
    </w:p>
    <w:p>
      <w:pPr>
        <w:pStyle w:val="Heading2"/>
        <w:spacing w:after="120" w:before="240"/>
      </w:pPr>
      <w:r>
        <w:rPr>
          <w:b/>
          <w:bCs/>
          <w:color w:val="1F3A5F"/>
        </w:rPr>
        <w:t xml:space="preserve">How we research each property (our steps)</w:t>
      </w:r>
    </w:p>
    <w:p>
      <w:pPr>
        <w:spacing w:after="120"/>
      </w:pPr>
      <w:r>
        <w:t xml:space="preserve">So you can see exactly what stands behind each row, here is the process we run on every community:</w:t>
      </w:r>
    </w:p>
    <w:p>
      <w:pPr>
        <w:pStyle w:val="ListParagraph"/>
        <w:numPr>
          <w:ilvl w:val="0"/>
          <w:numId w:val="2"/>
        </w:numPr>
      </w:pPr>
      <w:r>
        <w:rPr>
          <w:b/>
          <w:bCs/>
        </w:rPr>
        <w:t xml:space="preserve">Build the master list </w:t>
      </w:r>
      <w:r>
        <w:t xml:space="preserve">from authoritative sources — Kent County parcel/GIS records and Delaware’s registered-HOA registry — so we start from every real association, not a guess.</w:t>
      </w:r>
    </w:p>
    <w:p>
      <w:pPr>
        <w:pStyle w:val="ListParagraph"/>
        <w:numPr>
          <w:ilvl w:val="0"/>
          <w:numId w:val="2"/>
        </w:numPr>
      </w:pPr>
      <w:r>
        <w:rPr>
          <w:b/>
          <w:bCs/>
        </w:rPr>
        <w:t xml:space="preserve">Confirm each community </w:t>
      </w:r>
      <w:r>
        <w:t xml:space="preserve">is real and actually in the right county — this is what catches the wrong-state and duplicate-name errors.</w:t>
      </w:r>
    </w:p>
    <w:p>
      <w:pPr>
        <w:pStyle w:val="ListParagraph"/>
        <w:numPr>
          <w:ilvl w:val="0"/>
          <w:numId w:val="2"/>
        </w:numPr>
      </w:pPr>
      <w:r>
        <w:rPr>
          <w:b/>
          <w:bCs/>
        </w:rPr>
        <w:t xml:space="preserve">Determine management status </w:t>
      </w:r>
      <w:r>
        <w:t xml:space="preserve">— self-managed vs. which company runs it. Self-managed communities are the prime targets (no incumbent to displace).</w:t>
      </w:r>
    </w:p>
    <w:p>
      <w:pPr>
        <w:pStyle w:val="ListParagraph"/>
        <w:numPr>
          <w:ilvl w:val="0"/>
          <w:numId w:val="2"/>
        </w:numPr>
      </w:pPr>
      <w:r>
        <w:rPr>
          <w:b/>
          <w:bCs/>
        </w:rPr>
        <w:t xml:space="preserve">Pull the board contact </w:t>
      </w:r>
      <w:r>
        <w:t xml:space="preserve">— name, title, and mailing address — from the association’s site and the state registry, so you have a real person to reach.</w:t>
      </w:r>
    </w:p>
    <w:p>
      <w:pPr>
        <w:pStyle w:val="ListParagraph"/>
        <w:numPr>
          <w:ilvl w:val="0"/>
          <w:numId w:val="2"/>
        </w:numPr>
      </w:pPr>
      <w:r>
        <w:rPr>
          <w:b/>
          <w:bCs/>
        </w:rPr>
        <w:t xml:space="preserve">Capture size, amenities &amp; dues </w:t>
      </w:r>
      <w:r>
        <w:t xml:space="preserve">from the association site and real-estate listings (amenities like pools/clubhouses signal a heavier management load).</w:t>
      </w:r>
    </w:p>
    <w:p>
      <w:pPr>
        <w:pStyle w:val="ListParagraph"/>
        <w:numPr>
          <w:ilvl w:val="0"/>
          <w:numId w:val="2"/>
        </w:numPr>
      </w:pPr>
      <w:r>
        <w:rPr>
          <w:b/>
          <w:bCs/>
        </w:rPr>
        <w:t xml:space="preserve">Scan for timely signals </w:t>
      </w:r>
      <w:r>
        <w:t xml:space="preserve">— board turnover, special assessments, pool closures, manager changes, disputes — from news, press releases, and public discussion.</w:t>
      </w:r>
    </w:p>
    <w:p>
      <w:pPr>
        <w:pStyle w:val="ListParagraph"/>
        <w:numPr>
          <w:ilvl w:val="0"/>
          <w:numId w:val="2"/>
        </w:numPr>
        <w:spacing w:after="160"/>
      </w:pPr>
      <w:r>
        <w:rPr>
          <w:b/>
          <w:bCs/>
        </w:rPr>
        <w:t xml:space="preserve">Record everything in one ranked tracker </w:t>
      </w:r>
      <w:r>
        <w:t xml:space="preserve">with sources, so it’s reviewable and stays current.</w:t>
      </w:r>
    </w:p>
    <w:p>
      <w:pPr>
        <w:pStyle w:val="Heading2"/>
        <w:spacing w:after="120" w:before="240"/>
      </w:pPr>
      <w:r>
        <w:rPr>
          <w:b/>
          <w:bCs/>
          <w:color w:val="1F3A5F"/>
        </w:rPr>
        <w:t xml:space="preserve">Next steps — your call</w:t>
      </w:r>
    </w:p>
    <w:p>
      <w:pPr>
        <w:pStyle w:val="ListParagraph"/>
        <w:numPr>
          <w:ilvl w:val="0"/>
          <w:numId w:val="1"/>
        </w:numPr>
      </w:pPr>
      <w:r>
        <w:rPr>
          <w:b/>
          <w:bCs/>
        </w:rPr>
        <w:t xml:space="preserve">Finish Kent County </w:t>
      </w:r>
      <w:r>
        <w:t xml:space="preserve">— complete the remaining priority targets, then all 178 associations, anchored on the state registry for verified contacts.</w:t>
      </w:r>
    </w:p>
    <w:p>
      <w:pPr>
        <w:pStyle w:val="ListParagraph"/>
        <w:numPr>
          <w:ilvl w:val="0"/>
          <w:numId w:val="1"/>
        </w:numPr>
      </w:pPr>
      <w:r>
        <w:rPr>
          <w:b/>
          <w:bCs/>
        </w:rPr>
        <w:t xml:space="preserve">Expand to the other counties </w:t>
      </w:r>
      <w:r>
        <w:t xml:space="preserve">— if this is valuable, we can run the same process for New Castle and Sussex to cover all of Delaware.</w:t>
      </w:r>
    </w:p>
    <w:p>
      <w:pPr>
        <w:pStyle w:val="ListParagraph"/>
        <w:numPr>
          <w:ilvl w:val="0"/>
          <w:numId w:val="1"/>
        </w:numPr>
        <w:spacing w:after="160"/>
      </w:pPr>
      <w:r>
        <w:rPr>
          <w:b/>
          <w:bCs/>
        </w:rPr>
        <w:t xml:space="preserve">Weekly Monday updates </w:t>
      </w:r>
      <w:r>
        <w:t xml:space="preserve">— we can re-run it every Monday to surface newly registered communities, management changes, and fresh signals as they pop up.</w:t>
      </w:r>
    </w:p>
    <w:p>
      <w:pPr>
        <w:spacing w:after="120"/>
      </w:pPr>
      <w:r>
        <w:rPr>
          <w:b/>
          <w:bCs/>
          <w:color w:val="9C5B00"/>
        </w:rPr>
        <w:t xml:space="preserve">Bill — does this give you what you’d need to start reaching out? Is it worth extending to New Castle and Sussex, and would you want the weekly Monday refresh? Anything you’d add or drop?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2026-08-10T21:38:47.177Z</dcterms:created>
  <dcterms:modified xsi:type="dcterms:W3CDTF">2026-08-10T21:38:47.177Z</dcterms:modified>
</cp:coreProperties>
</file>

<file path=docProps/custom.xml><?xml version="1.0" encoding="utf-8"?>
<Properties xmlns="http://schemas.openxmlformats.org/officeDocument/2006/custom-properties" xmlns:vt="http://schemas.openxmlformats.org/officeDocument/2006/docPropsVTypes"/>
</file>