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13" w:line="300"/>
        <w:ind w:right="0" w:left="0" w:firstLine="0"/>
        <w:jc w:val="center"/>
        <w:rPr>
          <w:rFonts w:ascii="Liberation Serif" w:hAnsi="Liberation Serif" w:cs="Liberation Serif" w:eastAsia="Liberation Serif"/>
          <w:b/>
          <w:i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b/>
          <w:color w:val="24292E"/>
          <w:spacing w:val="0"/>
          <w:position w:val="0"/>
          <w:sz w:val="24"/>
          <w:shd w:fill="auto" w:val="clear"/>
        </w:rPr>
        <w:t xml:space="preserve">Симуляция токена CRT</w:t>
      </w:r>
    </w:p>
    <w:p>
      <w:pPr>
        <w:spacing w:before="0" w:after="213" w:line="30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  <w:t xml:space="preserve">Данный документ содержит инструкцию по запуску симуляции кредитного токена CRT и таблицу входных параметров симуляции, которые необходимо задать перед стартом симуляции на странице /#/new по кнопке Run New Simulation.</w:t>
      </w:r>
    </w:p>
    <w:p>
      <w:pPr>
        <w:spacing w:before="0" w:after="213" w:line="30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  <w:t xml:space="preserve">Выходные параметры, полученные в результате симуляции </w:t>
      </w:r>
      <w:r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  <w:t xml:space="preserve">таблица доходов и расходов Банка, график отображающий количество заемных и возвращенных токенов, стоимость токена на бирже, спред, график ликвидности стаканов, динамика эмиссии, доход и расход на содержание маркетмейкера.</w:t>
      </w:r>
    </w:p>
    <w:p>
      <w:pPr>
        <w:spacing w:before="0" w:after="213" w:line="300"/>
        <w:ind w:right="0" w:left="0" w:firstLine="0"/>
        <w:jc w:val="left"/>
        <w:rPr>
          <w:rFonts w:ascii="Arial" w:hAnsi="Arial" w:cs="Arial" w:eastAsia="Arial"/>
          <w:b/>
          <w:color w:val="24292E"/>
          <w:spacing w:val="0"/>
          <w:position w:val="0"/>
          <w:sz w:val="24"/>
          <w:shd w:fill="auto" w:val="clear"/>
        </w:rPr>
      </w:pPr>
    </w:p>
    <w:p>
      <w:pPr>
        <w:spacing w:before="0" w:after="213" w:line="300"/>
        <w:ind w:right="0" w:left="0" w:firstLine="0"/>
        <w:jc w:val="left"/>
        <w:rPr>
          <w:rFonts w:ascii="Arial" w:hAnsi="Arial" w:cs="Arial" w:eastAsia="Arial"/>
          <w:b/>
          <w:color w:val="24292E"/>
          <w:spacing w:val="0"/>
          <w:position w:val="0"/>
          <w:sz w:val="24"/>
          <w:shd w:fill="auto" w:val="clear"/>
        </w:rPr>
      </w:pPr>
    </w:p>
    <w:p>
      <w:pPr>
        <w:spacing w:before="0" w:after="213" w:line="300"/>
        <w:ind w:right="0" w:left="0" w:firstLine="0"/>
        <w:jc w:val="left"/>
        <w:rPr>
          <w:rFonts w:ascii="Arial" w:hAnsi="Arial" w:cs="Arial" w:eastAsia="Arial"/>
          <w:b/>
          <w:color w:val="24292E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213" w:line="300"/>
        <w:ind w:right="0" w:left="0" w:firstLine="0"/>
        <w:jc w:val="left"/>
        <w:rPr>
          <w:rFonts w:ascii="Arial" w:hAnsi="Arial" w:cs="Arial" w:eastAsia="Arial"/>
          <w:b/>
          <w:color w:val="24292E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24292E"/>
          <w:spacing w:val="0"/>
          <w:position w:val="0"/>
          <w:sz w:val="24"/>
          <w:shd w:fill="auto" w:val="clear"/>
        </w:rPr>
        <w:t xml:space="preserve">Инструкция по запуску</w:t>
      </w:r>
    </w:p>
    <w:p>
      <w:pPr>
        <w:numPr>
          <w:ilvl w:val="0"/>
          <w:numId w:val="3"/>
        </w:numPr>
        <w:spacing w:before="320" w:after="213" w:line="300"/>
        <w:ind w:right="0" w:left="0" w:firstLine="0"/>
        <w:jc w:val="left"/>
        <w:rPr>
          <w:rFonts w:ascii="Arial" w:hAnsi="Arial" w:cs="Arial" w:eastAsia="Arial"/>
          <w:b/>
          <w:color w:val="24292E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24292E"/>
          <w:spacing w:val="0"/>
          <w:position w:val="0"/>
          <w:sz w:val="24"/>
          <w:shd w:fill="auto" w:val="clear"/>
        </w:rPr>
        <w:t xml:space="preserve">Сборка Docker образа</w:t>
      </w:r>
    </w:p>
    <w:p>
      <w:pPr>
        <w:spacing w:before="0" w:after="213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  <w:t xml:space="preserve">скачать репо, собрать командой</w:t>
      </w:r>
    </w:p>
    <w:p>
      <w:pPr>
        <w:spacing w:before="0" w:after="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24292E"/>
          <w:spacing w:val="0"/>
          <w:position w:val="0"/>
          <w:sz w:val="20"/>
          <w:shd w:fill="auto" w:val="clear"/>
        </w:rPr>
        <w:t xml:space="preserve">docker build -t simulation -f Dockerfile 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24292E"/>
          <w:spacing w:val="0"/>
          <w:position w:val="0"/>
          <w:sz w:val="24"/>
          <w:shd w:fill="auto" w:val="clear"/>
        </w:rPr>
      </w:pPr>
    </w:p>
    <w:p>
      <w:pPr>
        <w:spacing w:before="0" w:after="213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  <w:t xml:space="preserve">или подгрузить готовый(предварительно полученный) образ-файл</w:t>
      </w:r>
    </w:p>
    <w:p>
      <w:pPr>
        <w:spacing w:before="0" w:after="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24292E"/>
          <w:spacing w:val="0"/>
          <w:position w:val="0"/>
          <w:sz w:val="20"/>
          <w:shd w:fill="auto" w:val="clear"/>
        </w:rPr>
        <w:t xml:space="preserve">docker load -i simulation.docker</w:t>
      </w:r>
    </w:p>
    <w:p>
      <w:pPr>
        <w:numPr>
          <w:ilvl w:val="0"/>
          <w:numId w:val="9"/>
        </w:numPr>
        <w:spacing w:before="320" w:after="213" w:line="300"/>
        <w:ind w:right="0" w:left="0" w:firstLine="0"/>
        <w:jc w:val="left"/>
        <w:rPr>
          <w:rFonts w:ascii="Arial" w:hAnsi="Arial" w:cs="Arial" w:eastAsia="Arial"/>
          <w:b/>
          <w:color w:val="24292E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320" w:after="213" w:line="300"/>
        <w:ind w:right="0" w:left="0" w:firstLine="0"/>
        <w:jc w:val="left"/>
        <w:rPr>
          <w:rFonts w:ascii="Arial" w:hAnsi="Arial" w:cs="Arial" w:eastAsia="Arial"/>
          <w:b/>
          <w:color w:val="24292E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24292E"/>
          <w:spacing w:val="0"/>
          <w:position w:val="0"/>
          <w:sz w:val="24"/>
          <w:shd w:fill="auto" w:val="clear"/>
        </w:rPr>
        <w:t xml:space="preserve">Запуск образа</w:t>
      </w:r>
    </w:p>
    <w:p>
      <w:pPr>
        <w:spacing w:before="0" w:after="213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  <w:t xml:space="preserve">Скопируйте папку saveddata на рабочий стол или другое место,</w:t>
      </w:r>
    </w:p>
    <w:p>
      <w:pPr>
        <w:spacing w:before="0" w:after="213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  <w:t xml:space="preserve">следующая команда должна содержать привязку к скопированной папке</w:t>
      </w:r>
    </w:p>
    <w:p>
      <w:pPr>
        <w:spacing w:before="0" w:after="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24292E"/>
          <w:spacing w:val="0"/>
          <w:position w:val="0"/>
          <w:sz w:val="20"/>
          <w:u w:val="single"/>
          <w:shd w:fill="auto" w:val="clear"/>
        </w:rPr>
        <w:t xml:space="preserve">docker run -v /</w:t>
      </w:r>
      <w:r>
        <w:rPr>
          <w:rFonts w:ascii="Arial" w:hAnsi="Arial" w:cs="Arial" w:eastAsia="Arial"/>
          <w:b/>
          <w:i/>
          <w:color w:val="24292E"/>
          <w:spacing w:val="0"/>
          <w:position w:val="0"/>
          <w:sz w:val="20"/>
          <w:u w:val="single"/>
          <w:shd w:fill="auto" w:val="clear"/>
        </w:rPr>
        <w:t xml:space="preserve">папка/saveddata:/simulation/backend/saveddata --rm -ti --name simulation -p 80:80 test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</w:pPr>
    </w:p>
    <w:p>
      <w:pPr>
        <w:spacing w:before="0" w:after="213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  <w:t xml:space="preserve">пройти по 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http://localhost/#/home</w:t>
        </w:r>
      </w:hyperlink>
    </w:p>
    <w:p>
      <w:pPr>
        <w:spacing w:before="0" w:after="213" w:line="276"/>
        <w:ind w:right="0" w:left="0" w:firstLine="0"/>
        <w:jc w:val="left"/>
        <w:rPr>
          <w:rFonts w:ascii="Arial" w:hAnsi="Arial" w:cs="Arial" w:eastAsia="Arial"/>
          <w:color w:val="0366D6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13"/>
        </w:numPr>
        <w:spacing w:before="320" w:after="213" w:line="300"/>
        <w:ind w:right="0" w:left="0" w:firstLine="0"/>
        <w:jc w:val="left"/>
        <w:rPr>
          <w:rFonts w:ascii="Arial" w:hAnsi="Arial" w:cs="Arial" w:eastAsia="Arial"/>
          <w:b/>
          <w:color w:val="24292E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24292E"/>
          <w:spacing w:val="0"/>
          <w:position w:val="0"/>
          <w:sz w:val="24"/>
          <w:shd w:fill="auto" w:val="clear"/>
        </w:rPr>
        <w:t xml:space="preserve">Рекомендуемая система:</w:t>
      </w:r>
    </w:p>
    <w:p>
      <w:pPr>
        <w:spacing w:before="0" w:after="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  <w:t xml:space="preserve">4x </w:t>
      </w:r>
      <w:r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  <w:t xml:space="preserve">ядра, 4 gb RAM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320" w:after="213" w:line="300"/>
        <w:ind w:right="0" w:left="0" w:firstLine="0"/>
        <w:jc w:val="left"/>
        <w:rPr>
          <w:rFonts w:ascii="Arial" w:hAnsi="Arial" w:cs="Arial" w:eastAsia="Arial"/>
          <w:b/>
          <w:color w:val="24292E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24292E"/>
          <w:spacing w:val="0"/>
          <w:position w:val="0"/>
          <w:sz w:val="24"/>
          <w:shd w:fill="auto" w:val="clear"/>
        </w:rPr>
        <w:t xml:space="preserve">Инструкция по параметрам</w:t>
      </w:r>
    </w:p>
    <w:p>
      <w:pPr>
        <w:spacing w:before="0" w:after="213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  <w:t xml:space="preserve">Для старта новой симуляции требуется ввести параметры среды и агентов и нажать кнопку Run Simulation</w:t>
      </w:r>
    </w:p>
    <w:p>
      <w:pPr>
        <w:numPr>
          <w:ilvl w:val="0"/>
          <w:numId w:val="17"/>
        </w:numPr>
        <w:spacing w:before="240" w:after="120" w:line="240"/>
        <w:ind w:right="0" w:left="720" w:firstLine="0"/>
        <w:jc w:val="left"/>
        <w:rPr>
          <w:rFonts w:ascii="apple-system;system-ui;Segoe UI" w:hAnsi="apple-system;system-ui;Segoe UI" w:cs="apple-system;system-ui;Segoe UI" w:eastAsia="apple-system;system-ui;Segoe UI"/>
          <w:b/>
          <w:color w:val="24292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4292E"/>
          <w:spacing w:val="0"/>
          <w:position w:val="0"/>
          <w:sz w:val="24"/>
          <w:shd w:fill="auto" w:val="clear"/>
        </w:rPr>
        <w:t xml:space="preserve">Таблица</w:t>
      </w:r>
      <w:r>
        <w:rPr>
          <w:rFonts w:ascii="apple-system;system-ui;Segoe UI" w:hAnsi="apple-system;system-ui;Segoe UI" w:cs="apple-system;system-ui;Segoe UI" w:eastAsia="apple-system;system-ui;Segoe UI"/>
          <w:b/>
          <w:color w:val="24292E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4292E"/>
          <w:spacing w:val="0"/>
          <w:position w:val="0"/>
          <w:sz w:val="24"/>
          <w:shd w:fill="auto" w:val="clear"/>
        </w:rPr>
        <w:t xml:space="preserve">параметров</w:t>
      </w:r>
    </w:p>
    <w:p>
      <w:pPr>
        <w:spacing w:before="240" w:after="120" w:line="240"/>
        <w:ind w:right="0" w:left="0" w:firstLine="0"/>
        <w:jc w:val="left"/>
        <w:rPr>
          <w:rFonts w:ascii="apple-system;system-ui;Segoe UI" w:hAnsi="apple-system;system-ui;Segoe UI" w:cs="apple-system;system-ui;Segoe UI" w:eastAsia="apple-system;system-ui;Segoe UI"/>
          <w:b/>
          <w:color w:val="24292E"/>
          <w:spacing w:val="0"/>
          <w:position w:val="0"/>
          <w:sz w:val="24"/>
          <w:shd w:fill="auto" w:val="clear"/>
        </w:rPr>
      </w:pPr>
    </w:p>
    <w:p>
      <w:pPr>
        <w:spacing w:before="240" w:after="120" w:line="240"/>
        <w:ind w:right="0" w:left="0" w:firstLine="0"/>
        <w:jc w:val="left"/>
        <w:rPr>
          <w:rFonts w:ascii="Calibri" w:hAnsi="Calibri" w:cs="Calibri" w:eastAsia="Calibri"/>
          <w:b/>
          <w:color w:val="24292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4292E"/>
          <w:spacing w:val="0"/>
          <w:position w:val="0"/>
          <w:sz w:val="24"/>
          <w:shd w:fill="auto" w:val="clear"/>
        </w:rPr>
        <w:t xml:space="preserve">маркетинговая кампания </w:t>
      </w:r>
      <w:r>
        <w:rPr>
          <w:rFonts w:ascii="Segoe UI Symbol" w:hAnsi="Segoe UI Symbol" w:cs="Segoe UI Symbol" w:eastAsia="Segoe UI Symbol"/>
          <w:b/>
          <w:color w:val="24292E"/>
          <w:spacing w:val="0"/>
          <w:position w:val="0"/>
          <w:sz w:val="24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24292E"/>
          <w:spacing w:val="0"/>
          <w:position w:val="0"/>
          <w:sz w:val="24"/>
          <w:shd w:fill="auto" w:val="clear"/>
        </w:rPr>
        <w:t xml:space="preserve">1,2</w:t>
      </w:r>
    </w:p>
    <w:p>
      <w:pPr>
        <w:spacing w:before="240" w:after="120" w:line="240"/>
        <w:ind w:right="0" w:left="0" w:firstLine="0"/>
        <w:jc w:val="left"/>
        <w:rPr>
          <w:rFonts w:ascii="Calibri" w:hAnsi="Calibri" w:cs="Calibri" w:eastAsia="Calibri"/>
          <w:b/>
          <w:color w:val="24292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4292E"/>
          <w:spacing w:val="0"/>
          <w:position w:val="0"/>
          <w:sz w:val="24"/>
          <w:shd w:fill="auto" w:val="clear"/>
        </w:rPr>
        <w:t xml:space="preserve">время начала, время конца,</w:t>
      </w:r>
    </w:p>
    <w:p>
      <w:pPr>
        <w:spacing w:before="240" w:after="120" w:line="240"/>
        <w:ind w:right="0" w:left="0" w:firstLine="0"/>
        <w:jc w:val="left"/>
        <w:rPr>
          <w:rFonts w:ascii="Calibri" w:hAnsi="Calibri" w:cs="Calibri" w:eastAsia="Calibri"/>
          <w:b/>
          <w:color w:val="24292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4292E"/>
          <w:spacing w:val="0"/>
          <w:position w:val="0"/>
          <w:sz w:val="24"/>
          <w:shd w:fill="auto" w:val="clear"/>
        </w:rPr>
        <w:t xml:space="preserve">Х заемщиков по $ каждый, Х спеков по $ каждый,Х инвесторов по $ каждый,</w:t>
      </w:r>
    </w:p>
    <w:p>
      <w:pPr>
        <w:spacing w:before="240" w:after="120" w:line="240"/>
        <w:ind w:right="0" w:left="0" w:firstLine="0"/>
        <w:jc w:val="left"/>
        <w:rPr>
          <w:rFonts w:ascii="Calibri" w:hAnsi="Calibri" w:cs="Calibri" w:eastAsia="Calibri"/>
          <w:b/>
          <w:color w:val="24292E"/>
          <w:spacing w:val="0"/>
          <w:position w:val="0"/>
          <w:sz w:val="24"/>
          <w:shd w:fill="auto" w:val="clear"/>
        </w:rPr>
      </w:pPr>
    </w:p>
    <w:p>
      <w:pPr>
        <w:spacing w:before="240" w:after="120" w:line="240"/>
        <w:ind w:right="0" w:left="0" w:firstLine="0"/>
        <w:jc w:val="left"/>
        <w:rPr>
          <w:rFonts w:ascii="Calibri" w:hAnsi="Calibri" w:cs="Calibri" w:eastAsia="Calibri"/>
          <w:b/>
          <w:color w:val="24292E"/>
          <w:spacing w:val="0"/>
          <w:position w:val="0"/>
          <w:sz w:val="24"/>
          <w:shd w:fill="auto" w:val="clear"/>
        </w:rPr>
      </w:pPr>
    </w:p>
    <w:p>
      <w:pPr>
        <w:spacing w:before="240" w:after="120" w:line="240"/>
        <w:ind w:right="0" w:left="0" w:firstLine="0"/>
        <w:jc w:val="left"/>
        <w:rPr>
          <w:rFonts w:ascii="Calibri" w:hAnsi="Calibri" w:cs="Calibri" w:eastAsia="Calibri"/>
          <w:b/>
          <w:color w:val="24292E"/>
          <w:spacing w:val="0"/>
          <w:position w:val="0"/>
          <w:sz w:val="24"/>
          <w:shd w:fill="auto" w:val="clear"/>
        </w:rPr>
      </w:pPr>
    </w:p>
    <w:p>
      <w:pPr>
        <w:spacing w:before="240" w:after="120" w:line="240"/>
        <w:ind w:right="0" w:left="0" w:firstLine="0"/>
        <w:jc w:val="left"/>
        <w:rPr>
          <w:rFonts w:ascii="apple-system;system-ui;Segoe UI" w:hAnsi="apple-system;system-ui;Segoe UI" w:cs="apple-system;system-ui;Segoe UI" w:eastAsia="apple-system;system-ui;Segoe UI"/>
          <w:b/>
          <w:color w:val="24292E"/>
          <w:spacing w:val="0"/>
          <w:position w:val="0"/>
          <w:sz w:val="24"/>
          <w:shd w:fill="auto" w:val="clear"/>
        </w:rPr>
      </w:pPr>
    </w:p>
    <w:tbl>
      <w:tblPr/>
      <w:tblGrid>
        <w:gridCol w:w="547"/>
        <w:gridCol w:w="1915"/>
        <w:gridCol w:w="1806"/>
        <w:gridCol w:w="4086"/>
        <w:gridCol w:w="1871"/>
      </w:tblGrid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</w:t>
            </w:r>
          </w:p>
        </w:tc>
        <w:tc>
          <w:tcPr>
            <w:tcW w:w="1915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Группа</w:t>
            </w: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Параметров</w:t>
            </w:r>
          </w:p>
        </w:tc>
        <w:tc>
          <w:tcPr>
            <w:tcW w:w="180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Название</w:t>
            </w: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Англ</w:t>
            </w:r>
          </w:p>
        </w:tc>
        <w:tc>
          <w:tcPr>
            <w:tcW w:w="408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Описание</w:t>
            </w:r>
          </w:p>
        </w:tc>
        <w:tc>
          <w:tcPr>
            <w:tcW w:w="1871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Значения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5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Общие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параметры</w:t>
            </w:r>
          </w:p>
        </w:tc>
        <w:tc>
          <w:tcPr>
            <w:tcW w:w="180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8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71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915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Simulation Name</w:t>
            </w:r>
          </w:p>
        </w:tc>
        <w:tc>
          <w:tcPr>
            <w:tcW w:w="408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Название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симуляции</w:t>
            </w:r>
          </w:p>
        </w:tc>
        <w:tc>
          <w:tcPr>
            <w:tcW w:w="1871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строчные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915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Compute time</w:t>
            </w:r>
          </w:p>
        </w:tc>
        <w:tc>
          <w:tcPr>
            <w:tcW w:w="408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Количество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дней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в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симуляции</w:t>
            </w:r>
          </w:p>
        </w:tc>
        <w:tc>
          <w:tcPr>
            <w:tcW w:w="1871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0-10000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5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Подгруппа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Маркетинг</w:t>
            </w:r>
          </w:p>
        </w:tc>
        <w:tc>
          <w:tcPr>
            <w:tcW w:w="180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8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71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1915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Lendee Cost</w:t>
            </w:r>
          </w:p>
        </w:tc>
        <w:tc>
          <w:tcPr>
            <w:tcW w:w="408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Стоимость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привлечения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1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заемщика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в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USDT</w:t>
            </w:r>
          </w:p>
        </w:tc>
        <w:tc>
          <w:tcPr>
            <w:tcW w:w="1871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0-100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915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Speculant Cost</w:t>
            </w:r>
          </w:p>
        </w:tc>
        <w:tc>
          <w:tcPr>
            <w:tcW w:w="408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Стоимость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привлечения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1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спекулянта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в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USDT</w:t>
            </w:r>
          </w:p>
        </w:tc>
        <w:tc>
          <w:tcPr>
            <w:tcW w:w="1871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0-100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1915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Investor Cost</w:t>
            </w:r>
          </w:p>
        </w:tc>
        <w:tc>
          <w:tcPr>
            <w:tcW w:w="408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Стоимость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привлечения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1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инвестора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в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USDT</w:t>
            </w:r>
          </w:p>
        </w:tc>
        <w:tc>
          <w:tcPr>
            <w:tcW w:w="1871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0-100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1915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Marketmaker Labor Cost per day</w:t>
            </w:r>
          </w:p>
        </w:tc>
        <w:tc>
          <w:tcPr>
            <w:tcW w:w="408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Стоимость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работы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маркетмейкера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в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сутки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</w:tc>
        <w:tc>
          <w:tcPr>
            <w:tcW w:w="1871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0-10000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5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Параметры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Заемщиков</w:t>
            </w:r>
          </w:p>
        </w:tc>
        <w:tc>
          <w:tcPr>
            <w:tcW w:w="180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8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71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1915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Quantity</w:t>
            </w:r>
          </w:p>
        </w:tc>
        <w:tc>
          <w:tcPr>
            <w:tcW w:w="408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Начальное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количество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заемщиков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в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системе</w:t>
            </w:r>
          </w:p>
        </w:tc>
        <w:tc>
          <w:tcPr>
            <w:tcW w:w="1871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0-1000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1915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Flow</w:t>
            </w:r>
          </w:p>
        </w:tc>
        <w:tc>
          <w:tcPr>
            <w:tcW w:w="408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Скорость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притока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оттока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заемщиков</w:t>
            </w:r>
          </w:p>
        </w:tc>
        <w:tc>
          <w:tcPr>
            <w:tcW w:w="1871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0-10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9</w:t>
            </w:r>
          </w:p>
        </w:tc>
        <w:tc>
          <w:tcPr>
            <w:tcW w:w="1915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Flow Type</w:t>
            </w:r>
          </w:p>
        </w:tc>
        <w:tc>
          <w:tcPr>
            <w:tcW w:w="408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Тип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тока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приток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или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отток</w:t>
            </w:r>
          </w:p>
        </w:tc>
        <w:tc>
          <w:tcPr>
            <w:tcW w:w="1871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in/out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915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Activity</w:t>
            </w:r>
          </w:p>
        </w:tc>
        <w:tc>
          <w:tcPr>
            <w:tcW w:w="408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при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индексе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активности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0.01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заемщик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будет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подавать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заявку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на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кредит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в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среднем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1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раз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в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100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дней</w:t>
            </w:r>
          </w:p>
        </w:tc>
        <w:tc>
          <w:tcPr>
            <w:tcW w:w="1871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0.001-1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11</w:t>
            </w:r>
          </w:p>
        </w:tc>
        <w:tc>
          <w:tcPr>
            <w:tcW w:w="1915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Credit Score Ranges</w:t>
            </w:r>
          </w:p>
        </w:tc>
        <w:tc>
          <w:tcPr>
            <w:tcW w:w="408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Кредитные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рейтинги</w:t>
            </w:r>
          </w:p>
        </w:tc>
        <w:tc>
          <w:tcPr>
            <w:tcW w:w="1871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50-55,...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12</w:t>
            </w:r>
          </w:p>
        </w:tc>
        <w:tc>
          <w:tcPr>
            <w:tcW w:w="1915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Range Probabilities</w:t>
            </w:r>
          </w:p>
        </w:tc>
        <w:tc>
          <w:tcPr>
            <w:tcW w:w="408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Вероятности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выпадения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кредитных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рейтингов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заемщику</w:t>
            </w:r>
          </w:p>
        </w:tc>
        <w:tc>
          <w:tcPr>
            <w:tcW w:w="1871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0.01,0.02...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13</w:t>
            </w:r>
          </w:p>
        </w:tc>
        <w:tc>
          <w:tcPr>
            <w:tcW w:w="1915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Inquiry Sums</w:t>
            </w:r>
          </w:p>
        </w:tc>
        <w:tc>
          <w:tcPr>
            <w:tcW w:w="408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Суммы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заявок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на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кредит</w:t>
            </w:r>
          </w:p>
        </w:tc>
        <w:tc>
          <w:tcPr>
            <w:tcW w:w="1871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1000,2000...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14</w:t>
            </w:r>
          </w:p>
        </w:tc>
        <w:tc>
          <w:tcPr>
            <w:tcW w:w="1915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Sum Probabilities</w:t>
            </w:r>
          </w:p>
        </w:tc>
        <w:tc>
          <w:tcPr>
            <w:tcW w:w="408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Вероятности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выпадения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сумм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заявок</w:t>
            </w:r>
          </w:p>
        </w:tc>
        <w:tc>
          <w:tcPr>
            <w:tcW w:w="1871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0.01,0.02...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5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Параметры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Кредитных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Договоров</w:t>
            </w:r>
          </w:p>
        </w:tc>
        <w:tc>
          <w:tcPr>
            <w:tcW w:w="180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8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71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15</w:t>
            </w:r>
          </w:p>
        </w:tc>
        <w:tc>
          <w:tcPr>
            <w:tcW w:w="1915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Scenario #1 Probability</w:t>
            </w:r>
          </w:p>
        </w:tc>
        <w:tc>
          <w:tcPr>
            <w:tcW w:w="408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Вероятность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просхождения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сценария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1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с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контрактом</w:t>
            </w:r>
          </w:p>
        </w:tc>
        <w:tc>
          <w:tcPr>
            <w:tcW w:w="1871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0.1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16</w:t>
            </w:r>
          </w:p>
        </w:tc>
        <w:tc>
          <w:tcPr>
            <w:tcW w:w="1915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Scenario #2 Probability</w:t>
            </w:r>
          </w:p>
        </w:tc>
        <w:tc>
          <w:tcPr>
            <w:tcW w:w="408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Вероятность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просхождения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сценария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2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с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контрактом</w:t>
            </w:r>
          </w:p>
        </w:tc>
        <w:tc>
          <w:tcPr>
            <w:tcW w:w="1871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0.2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17</w:t>
            </w:r>
          </w:p>
        </w:tc>
        <w:tc>
          <w:tcPr>
            <w:tcW w:w="1915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Scenario #3 Probability</w:t>
            </w:r>
          </w:p>
        </w:tc>
        <w:tc>
          <w:tcPr>
            <w:tcW w:w="408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Вероятность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просхождения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сценария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3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с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контрактом</w:t>
            </w:r>
          </w:p>
        </w:tc>
        <w:tc>
          <w:tcPr>
            <w:tcW w:w="1871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0.7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18</w:t>
            </w:r>
          </w:p>
        </w:tc>
        <w:tc>
          <w:tcPr>
            <w:tcW w:w="1915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Chance to delay</w:t>
            </w:r>
          </w:p>
        </w:tc>
        <w:tc>
          <w:tcPr>
            <w:tcW w:w="408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Вероятность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отсрочить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очередной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регулярный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платеж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в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сценарии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3</w:t>
            </w:r>
          </w:p>
        </w:tc>
        <w:tc>
          <w:tcPr>
            <w:tcW w:w="1871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0.2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19</w:t>
            </w:r>
          </w:p>
        </w:tc>
        <w:tc>
          <w:tcPr>
            <w:tcW w:w="1915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Delay period</w:t>
            </w:r>
          </w:p>
        </w:tc>
        <w:tc>
          <w:tcPr>
            <w:tcW w:w="408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Срок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задержки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регулярного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платежа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в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сценарии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3,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дней</w:t>
            </w:r>
          </w:p>
        </w:tc>
        <w:tc>
          <w:tcPr>
            <w:tcW w:w="1871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5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Параметры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Спекулянтов</w:t>
            </w:r>
          </w:p>
        </w:tc>
        <w:tc>
          <w:tcPr>
            <w:tcW w:w="180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8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71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915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Quantity</w:t>
            </w:r>
          </w:p>
        </w:tc>
        <w:tc>
          <w:tcPr>
            <w:tcW w:w="408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Начальное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количество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спекулянтов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в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системе</w:t>
            </w:r>
          </w:p>
        </w:tc>
        <w:tc>
          <w:tcPr>
            <w:tcW w:w="1871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0-1000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21</w:t>
            </w:r>
          </w:p>
        </w:tc>
        <w:tc>
          <w:tcPr>
            <w:tcW w:w="1915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Flow</w:t>
            </w:r>
          </w:p>
        </w:tc>
        <w:tc>
          <w:tcPr>
            <w:tcW w:w="408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Скорость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притока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оттока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спекулянтов</w:t>
            </w:r>
          </w:p>
        </w:tc>
        <w:tc>
          <w:tcPr>
            <w:tcW w:w="1871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0-10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22</w:t>
            </w:r>
          </w:p>
        </w:tc>
        <w:tc>
          <w:tcPr>
            <w:tcW w:w="1915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Flow type</w:t>
            </w:r>
          </w:p>
        </w:tc>
        <w:tc>
          <w:tcPr>
            <w:tcW w:w="408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Тип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тока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приток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или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отток</w:t>
            </w:r>
          </w:p>
        </w:tc>
        <w:tc>
          <w:tcPr>
            <w:tcW w:w="1871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in/out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23</w:t>
            </w:r>
          </w:p>
        </w:tc>
        <w:tc>
          <w:tcPr>
            <w:tcW w:w="1915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Price Deviation</w:t>
            </w:r>
          </w:p>
        </w:tc>
        <w:tc>
          <w:tcPr>
            <w:tcW w:w="408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Отклонения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от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рыночной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цены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принимаемые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для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торговли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спекулянтами</w:t>
            </w:r>
          </w:p>
        </w:tc>
        <w:tc>
          <w:tcPr>
            <w:tcW w:w="1871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0.01,0.02,0,03...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24</w:t>
            </w:r>
          </w:p>
        </w:tc>
        <w:tc>
          <w:tcPr>
            <w:tcW w:w="1915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Deviation Probabilities</w:t>
            </w:r>
          </w:p>
        </w:tc>
        <w:tc>
          <w:tcPr>
            <w:tcW w:w="408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Вероятности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ценовых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отклонений</w:t>
            </w:r>
          </w:p>
        </w:tc>
        <w:tc>
          <w:tcPr>
            <w:tcW w:w="1871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0.1,0.2,0,7...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25</w:t>
            </w:r>
          </w:p>
        </w:tc>
        <w:tc>
          <w:tcPr>
            <w:tcW w:w="1915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Amounts</w:t>
            </w:r>
          </w:p>
        </w:tc>
        <w:tc>
          <w:tcPr>
            <w:tcW w:w="408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Торгуемые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объемы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спекулянтом</w:t>
            </w:r>
          </w:p>
        </w:tc>
        <w:tc>
          <w:tcPr>
            <w:tcW w:w="1871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100,200,300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26</w:t>
            </w:r>
          </w:p>
        </w:tc>
        <w:tc>
          <w:tcPr>
            <w:tcW w:w="1915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Amount Probabilities</w:t>
            </w:r>
          </w:p>
        </w:tc>
        <w:tc>
          <w:tcPr>
            <w:tcW w:w="408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Вероятности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выпадения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спекулянту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торгуемых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объемов</w:t>
            </w:r>
          </w:p>
        </w:tc>
        <w:tc>
          <w:tcPr>
            <w:tcW w:w="1871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0.1,0.2,07...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5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Параметры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Инвесторов</w:t>
            </w:r>
          </w:p>
        </w:tc>
        <w:tc>
          <w:tcPr>
            <w:tcW w:w="180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8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71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27</w:t>
            </w:r>
          </w:p>
        </w:tc>
        <w:tc>
          <w:tcPr>
            <w:tcW w:w="1915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Quantity</w:t>
            </w:r>
          </w:p>
        </w:tc>
        <w:tc>
          <w:tcPr>
            <w:tcW w:w="408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Начальное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количество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инвесторов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в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система</w:t>
            </w:r>
          </w:p>
        </w:tc>
        <w:tc>
          <w:tcPr>
            <w:tcW w:w="1871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0-1000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28</w:t>
            </w:r>
          </w:p>
        </w:tc>
        <w:tc>
          <w:tcPr>
            <w:tcW w:w="1915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Flow</w:t>
            </w:r>
          </w:p>
        </w:tc>
        <w:tc>
          <w:tcPr>
            <w:tcW w:w="408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Скорость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притока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оттока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инвесторов</w:t>
            </w:r>
          </w:p>
        </w:tc>
        <w:tc>
          <w:tcPr>
            <w:tcW w:w="1871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0-10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29</w:t>
            </w:r>
          </w:p>
        </w:tc>
        <w:tc>
          <w:tcPr>
            <w:tcW w:w="1915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Flow type</w:t>
            </w:r>
          </w:p>
        </w:tc>
        <w:tc>
          <w:tcPr>
            <w:tcW w:w="408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Тип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тока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приток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или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отток</w:t>
            </w:r>
          </w:p>
        </w:tc>
        <w:tc>
          <w:tcPr>
            <w:tcW w:w="1871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in/out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30</w:t>
            </w:r>
          </w:p>
        </w:tc>
        <w:tc>
          <w:tcPr>
            <w:tcW w:w="1915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Desired ROI</w:t>
            </w:r>
          </w:p>
        </w:tc>
        <w:tc>
          <w:tcPr>
            <w:tcW w:w="408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Желаемые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Возвраты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на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Инвестиции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Инвесторов</w:t>
            </w:r>
          </w:p>
        </w:tc>
        <w:tc>
          <w:tcPr>
            <w:tcW w:w="1871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0.05,0.1,0.2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31</w:t>
            </w:r>
          </w:p>
        </w:tc>
        <w:tc>
          <w:tcPr>
            <w:tcW w:w="1915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Desired ROI Probabilities</w:t>
            </w:r>
          </w:p>
        </w:tc>
        <w:tc>
          <w:tcPr>
            <w:tcW w:w="408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Вероятности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желаемых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возвратов</w:t>
            </w:r>
          </w:p>
        </w:tc>
        <w:tc>
          <w:tcPr>
            <w:tcW w:w="1871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0.1,0.2,0.7...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32</w:t>
            </w:r>
          </w:p>
        </w:tc>
        <w:tc>
          <w:tcPr>
            <w:tcW w:w="1915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Investment Amounts</w:t>
            </w:r>
          </w:p>
        </w:tc>
        <w:tc>
          <w:tcPr>
            <w:tcW w:w="408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Объемы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инвестиций</w:t>
            </w:r>
          </w:p>
        </w:tc>
        <w:tc>
          <w:tcPr>
            <w:tcW w:w="1871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1000,2000,10000...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33</w:t>
            </w:r>
          </w:p>
        </w:tc>
        <w:tc>
          <w:tcPr>
            <w:tcW w:w="1915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Investment Amount Probabilities</w:t>
            </w:r>
          </w:p>
        </w:tc>
        <w:tc>
          <w:tcPr>
            <w:tcW w:w="408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Вероятности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объемов</w:t>
            </w:r>
          </w:p>
        </w:tc>
        <w:tc>
          <w:tcPr>
            <w:tcW w:w="1871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0.1,0.2,0.7...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5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Параметры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Маркетмейкера</w:t>
            </w:r>
          </w:p>
        </w:tc>
        <w:tc>
          <w:tcPr>
            <w:tcW w:w="180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8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71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34</w:t>
            </w:r>
          </w:p>
        </w:tc>
        <w:tc>
          <w:tcPr>
            <w:tcW w:w="1915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Price to manipulate</w:t>
            </w:r>
          </w:p>
        </w:tc>
        <w:tc>
          <w:tcPr>
            <w:tcW w:w="408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Цена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от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которой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маркетмейкер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берет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шаг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и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восстанавливает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ликвидность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если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рынку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эту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необходимо</w:t>
            </w:r>
          </w:p>
        </w:tc>
        <w:tc>
          <w:tcPr>
            <w:tcW w:w="1871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35</w:t>
            </w:r>
          </w:p>
        </w:tc>
        <w:tc>
          <w:tcPr>
            <w:tcW w:w="1915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Climb Rate</w:t>
            </w:r>
          </w:p>
        </w:tc>
        <w:tc>
          <w:tcPr>
            <w:tcW w:w="408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Скорость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роста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курса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в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день</w:t>
            </w:r>
          </w:p>
        </w:tc>
        <w:tc>
          <w:tcPr>
            <w:tcW w:w="1871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0.0001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36</w:t>
            </w:r>
          </w:p>
        </w:tc>
        <w:tc>
          <w:tcPr>
            <w:tcW w:w="1915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Order Price deviation</w:t>
            </w:r>
          </w:p>
        </w:tc>
        <w:tc>
          <w:tcPr>
            <w:tcW w:w="408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Шаг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ордеров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маркетмейкера</w:t>
            </w:r>
          </w:p>
        </w:tc>
        <w:tc>
          <w:tcPr>
            <w:tcW w:w="1871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0.02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37</w:t>
            </w:r>
          </w:p>
        </w:tc>
        <w:tc>
          <w:tcPr>
            <w:tcW w:w="1915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Amount Base</w:t>
            </w:r>
          </w:p>
        </w:tc>
        <w:tc>
          <w:tcPr>
            <w:tcW w:w="408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Основа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ордеров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маркетмейкера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увеличивается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итеративно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удаляясь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от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спреда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с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шагом</w:t>
            </w:r>
          </w:p>
        </w:tc>
        <w:tc>
          <w:tcPr>
            <w:tcW w:w="1871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200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38</w:t>
            </w:r>
          </w:p>
        </w:tc>
        <w:tc>
          <w:tcPr>
            <w:tcW w:w="1915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Liquidity Threshold</w:t>
            </w:r>
          </w:p>
        </w:tc>
        <w:tc>
          <w:tcPr>
            <w:tcW w:w="408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Если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ликвидность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какого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либо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ордера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бука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снизится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ниже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этого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порога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то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маркет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мейкер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будет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добавлять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ликвидность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,</w:t>
            </w:r>
          </w:p>
        </w:tc>
        <w:tc>
          <w:tcPr>
            <w:tcW w:w="1871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10000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5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Параметры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Биржи</w:t>
            </w:r>
          </w:p>
        </w:tc>
        <w:tc>
          <w:tcPr>
            <w:tcW w:w="180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8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71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39</w:t>
            </w:r>
          </w:p>
        </w:tc>
        <w:tc>
          <w:tcPr>
            <w:tcW w:w="1915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Comission on trades</w:t>
            </w:r>
          </w:p>
        </w:tc>
        <w:tc>
          <w:tcPr>
            <w:tcW w:w="408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Комиссия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Биржи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на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трейды</w:t>
            </w:r>
          </w:p>
        </w:tc>
        <w:tc>
          <w:tcPr>
            <w:tcW w:w="1871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0.0001-0.01 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не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%)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5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Параметры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Банковских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продуктов</w:t>
            </w:r>
          </w:p>
        </w:tc>
        <w:tc>
          <w:tcPr>
            <w:tcW w:w="180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8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71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40</w:t>
            </w:r>
          </w:p>
        </w:tc>
        <w:tc>
          <w:tcPr>
            <w:tcW w:w="1915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Incoming Credit Score</w:t>
            </w:r>
          </w:p>
        </w:tc>
        <w:tc>
          <w:tcPr>
            <w:tcW w:w="408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Диапазоны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рейтинга</w:t>
            </w:r>
          </w:p>
        </w:tc>
        <w:tc>
          <w:tcPr>
            <w:tcW w:w="1871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фикс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41</w:t>
            </w:r>
          </w:p>
        </w:tc>
        <w:tc>
          <w:tcPr>
            <w:tcW w:w="1915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Credit Interest</w:t>
            </w:r>
          </w:p>
        </w:tc>
        <w:tc>
          <w:tcPr>
            <w:tcW w:w="408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Процентная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ставка</w:t>
            </w:r>
          </w:p>
        </w:tc>
        <w:tc>
          <w:tcPr>
            <w:tcW w:w="1871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20,15...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42</w:t>
            </w:r>
          </w:p>
        </w:tc>
        <w:tc>
          <w:tcPr>
            <w:tcW w:w="1915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Credit Period</w:t>
            </w:r>
          </w:p>
        </w:tc>
        <w:tc>
          <w:tcPr>
            <w:tcW w:w="408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Кредитный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период</w:t>
            </w:r>
          </w:p>
        </w:tc>
        <w:tc>
          <w:tcPr>
            <w:tcW w:w="1871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30,120...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43</w:t>
            </w:r>
          </w:p>
        </w:tc>
        <w:tc>
          <w:tcPr>
            <w:tcW w:w="1915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Daily Fine</w:t>
            </w:r>
          </w:p>
        </w:tc>
        <w:tc>
          <w:tcPr>
            <w:tcW w:w="4086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Сумма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ежедневного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штрафа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в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случае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просрочки</w:t>
            </w:r>
          </w:p>
        </w:tc>
        <w:tc>
          <w:tcPr>
            <w:tcW w:w="1871" w:type="dxa"/>
            <w:tcBorders>
              <w:top w:val="single" w:color="dfe2e5" w:sz="2"/>
              <w:left w:val="single" w:color="dfe2e5" w:sz="2"/>
              <w:bottom w:val="single" w:color="dfe2e5" w:sz="2"/>
              <w:right w:val="single" w:color="dfe2e5" w:sz="2"/>
            </w:tcBorders>
            <w:shd w:color="000000" w:fill="auto" w:val="clear"/>
            <w:tcMar>
              <w:left w:w="170" w:type="dxa"/>
              <w:right w:w="170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10,20...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">
    <w:abstractNumId w:val="30"/>
  </w:num>
  <w:num w:numId="3">
    <w:abstractNumId w:val="24"/>
  </w:num>
  <w:num w:numId="9">
    <w:abstractNumId w:val="18"/>
  </w:num>
  <w:num w:numId="13">
    <w:abstractNumId w:val="12"/>
  </w:num>
  <w:num w:numId="15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ocalhost/#/home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