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80"/>
        <w:jc w:val="center"/>
        <w:rPr/>
      </w:pPr>
      <w:r>
        <w:rPr>
          <w:rFonts w:eastAsia="Times New Roman" w:cs="Times New Roman"/>
          <w:b/>
          <w:bCs/>
          <w:sz w:val="32"/>
          <w:szCs w:val="32"/>
        </w:rPr>
        <w:t>Mobile Game Player Spending Segment Classifier</w:t>
      </w:r>
    </w:p>
    <w:p>
      <w:pPr>
        <w:pStyle w:val="Normal"/>
        <w:spacing w:before="0" w:after="80"/>
        <w:jc w:val="center"/>
        <w:rPr/>
      </w:pPr>
      <w:r>
        <w:rPr>
          <w:rFonts w:eastAsia="Times New Roman" w:cs="Times New Roman"/>
          <w:sz w:val="28"/>
          <w:szCs w:val="28"/>
        </w:rPr>
        <w:t>Project Proposal and Executive Summary</w:t>
      </w:r>
    </w:p>
    <w:p>
      <w:pPr>
        <w:pStyle w:val="Normal"/>
        <w:spacing w:before="0" w:after="0"/>
        <w:rPr/>
      </w:pPr>
      <w:r>
        <w:rPr/>
      </w:r>
    </w:p>
    <w:p>
      <w:pPr>
        <w:pStyle w:val="Normal"/>
        <w:spacing w:before="0" w:after="60"/>
        <w:jc w:val="center"/>
        <w:rPr/>
      </w:pPr>
      <w:r>
        <w:rPr>
          <w:rFonts w:eastAsia="Times New Roman" w:cs="Times New Roman"/>
          <w:sz w:val="24"/>
          <w:szCs w:val="24"/>
        </w:rPr>
        <w:t>Zachary Buffington</w:t>
      </w:r>
    </w:p>
    <w:p>
      <w:pPr>
        <w:pStyle w:val="Normal"/>
        <w:spacing w:before="0" w:after="60"/>
        <w:jc w:val="center"/>
        <w:rPr/>
      </w:pPr>
      <w:r>
        <w:rPr>
          <w:rFonts w:eastAsia="Times New Roman" w:cs="Times New Roman"/>
          <w:sz w:val="24"/>
          <w:szCs w:val="24"/>
        </w:rPr>
        <w:t>Student ID: 011528706</w:t>
      </w:r>
    </w:p>
    <w:p>
      <w:pPr>
        <w:pStyle w:val="Normal"/>
        <w:spacing w:before="0" w:after="60"/>
        <w:jc w:val="center"/>
        <w:rPr/>
      </w:pPr>
      <w:r>
        <w:rPr>
          <w:rFonts w:eastAsia="Times New Roman" w:cs="Times New Roman"/>
          <w:sz w:val="24"/>
          <w:szCs w:val="24"/>
        </w:rPr>
        <w:t>Western Governors University</w:t>
      </w:r>
    </w:p>
    <w:p>
      <w:pPr>
        <w:pStyle w:val="Normal"/>
        <w:spacing w:before="0" w:after="60"/>
        <w:jc w:val="center"/>
        <w:rPr/>
      </w:pPr>
      <w:r>
        <w:rPr>
          <w:rFonts w:eastAsia="Times New Roman" w:cs="Times New Roman"/>
          <w:sz w:val="24"/>
          <w:szCs w:val="24"/>
        </w:rPr>
        <w:t>Computer Science Capstone</w:t>
      </w:r>
    </w:p>
    <w:p>
      <w:pPr>
        <w:pStyle w:val="Normal"/>
        <w:spacing w:before="0" w:after="60"/>
        <w:jc w:val="center"/>
        <w:rPr/>
      </w:pPr>
      <w:r>
        <w:rPr>
          <w:rFonts w:eastAsia="Times New Roman" w:cs="Times New Roman"/>
          <w:sz w:val="24"/>
          <w:szCs w:val="24"/>
        </w:rPr>
        <w:t>April 2026</w:t>
      </w:r>
    </w:p>
    <w:p>
      <w:pPr>
        <w:pStyle w:val="Normal"/>
        <w:rPr/>
      </w:pPr>
      <w:r>
        <w:rPr/>
      </w:r>
      <w:r>
        <w:br w:type="page"/>
      </w:r>
    </w:p>
    <w:p>
      <w:pPr>
        <w:pStyle w:val="Heading1"/>
        <w:spacing w:before="0" w:after="200"/>
        <w:rPr/>
      </w:pPr>
      <w:r>
        <w:rPr>
          <w:rFonts w:eastAsia="Times New Roman" w:cs="Times New Roman" w:ascii="Times New Roman" w:hAnsi="Times New Roman"/>
          <w:b/>
          <w:bCs/>
          <w:sz w:val="32"/>
          <w:szCs w:val="32"/>
        </w:rPr>
        <w:t>Section A: Letter of Transmittal</w:t>
      </w:r>
    </w:p>
    <w:p>
      <w:pPr>
        <w:pStyle w:val="Normal"/>
        <w:spacing w:before="0" w:after="0"/>
        <w:rPr/>
      </w:pPr>
      <w:r>
        <w:rPr/>
      </w:r>
    </w:p>
    <w:p>
      <w:pPr>
        <w:pStyle w:val="Normal"/>
        <w:spacing w:before="0" w:after="120"/>
        <w:rPr/>
      </w:pPr>
      <w:r>
        <w:rPr>
          <w:rFonts w:eastAsia="Times New Roman" w:cs="Times New Roman"/>
          <w:sz w:val="24"/>
          <w:szCs w:val="24"/>
        </w:rPr>
        <w:t>April 1, 2026</w:t>
      </w:r>
    </w:p>
    <w:p>
      <w:pPr>
        <w:pStyle w:val="Normal"/>
        <w:spacing w:before="0" w:after="0"/>
        <w:rPr/>
      </w:pPr>
      <w:r>
        <w:rPr/>
      </w:r>
    </w:p>
    <w:p>
      <w:pPr>
        <w:pStyle w:val="Normal"/>
        <w:spacing w:before="0" w:after="120"/>
        <w:rPr/>
      </w:pPr>
      <w:r>
        <w:rPr>
          <w:rFonts w:eastAsia="Times New Roman" w:cs="Times New Roman"/>
          <w:sz w:val="24"/>
          <w:szCs w:val="24"/>
        </w:rPr>
        <w:t>To: Senior Leadership and Executive Management</w:t>
      </w:r>
    </w:p>
    <w:p>
      <w:pPr>
        <w:pStyle w:val="Normal"/>
        <w:spacing w:before="0" w:after="120"/>
        <w:rPr/>
      </w:pPr>
      <w:r>
        <w:rPr>
          <w:rFonts w:eastAsia="Times New Roman" w:cs="Times New Roman"/>
          <w:sz w:val="24"/>
          <w:szCs w:val="24"/>
        </w:rPr>
        <w:t xml:space="preserve">From: Zachary Buffington, </w:t>
      </w:r>
      <w:r>
        <w:rPr>
          <w:rFonts w:eastAsia="Times New Roman" w:cs="Times New Roman"/>
          <w:sz w:val="24"/>
          <w:szCs w:val="24"/>
        </w:rPr>
        <w:t>Machine Learning Engineer</w:t>
      </w:r>
    </w:p>
    <w:p>
      <w:pPr>
        <w:pStyle w:val="Normal"/>
        <w:spacing w:before="0" w:after="120"/>
        <w:rPr/>
      </w:pPr>
      <w:r>
        <w:rPr>
          <w:rFonts w:eastAsia="Times New Roman" w:cs="Times New Roman"/>
          <w:sz w:val="24"/>
          <w:szCs w:val="24"/>
        </w:rPr>
        <w:t>Subject: Proposal for a Machine Learning Player Spending Segment Classifier</w:t>
      </w:r>
    </w:p>
    <w:p>
      <w:pPr>
        <w:pStyle w:val="Normal"/>
        <w:spacing w:before="0" w:after="0"/>
        <w:rPr/>
      </w:pPr>
      <w:r>
        <w:rPr/>
      </w:r>
    </w:p>
    <w:p>
      <w:pPr>
        <w:pStyle w:val="Normal"/>
        <w:spacing w:before="0" w:after="120"/>
        <w:rPr/>
      </w:pPr>
      <w:r>
        <w:rPr>
          <w:rFonts w:eastAsia="Times New Roman" w:cs="Times New Roman"/>
          <w:sz w:val="24"/>
          <w:szCs w:val="24"/>
        </w:rPr>
        <w:t xml:space="preserve">Dear </w:t>
      </w:r>
      <w:r>
        <w:rPr>
          <w:rFonts w:eastAsia="Times New Roman" w:cs="Times New Roman"/>
          <w:sz w:val="24"/>
          <w:szCs w:val="24"/>
        </w:rPr>
        <w:t>executives</w:t>
      </w:r>
      <w:r>
        <w:rPr>
          <w:rFonts w:eastAsia="Times New Roman" w:cs="Times New Roman"/>
          <w:sz w:val="24"/>
          <w:szCs w:val="24"/>
        </w:rPr>
        <w:t>,</w:t>
      </w:r>
    </w:p>
    <w:p>
      <w:pPr>
        <w:pStyle w:val="Normal"/>
        <w:spacing w:before="0" w:after="0"/>
        <w:rPr/>
      </w:pPr>
      <w:r>
        <w:rPr/>
      </w:r>
    </w:p>
    <w:p>
      <w:pPr>
        <w:pStyle w:val="Normal"/>
        <w:spacing w:before="0" w:after="120"/>
        <w:rPr/>
      </w:pPr>
      <w:r>
        <w:rPr>
          <w:rFonts w:eastAsia="Times New Roman" w:cs="Times New Roman"/>
          <w:sz w:val="24"/>
          <w:szCs w:val="24"/>
        </w:rPr>
        <w:t xml:space="preserve">I am submitting the attached proposal for a machine learning data product designed to classify free-to-play mobile game players into spending segments. The product addresses the lack of a systemic, data-driven method for classifying high-value players and distinguishing them from moderate or low-value players early in their lifecycle. </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With the mobile gaming market booming, seeing annual revenue in excess of $90 billion, 64.5% of all revenue in free-to-play titles comes from the top 10% of spending players, while only 1.63% of players make any in-app purchase at all (Swrve, 2019). Despite this skew, most studios continue to apply uniform marketing and retention strategies across their entire player base, resulting in wasted spending and missed revenue.</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pPr>
      <w:r>
        <w:rPr>
          <w:rFonts w:eastAsia="Times New Roman" w:cs="Times New Roman"/>
          <w:sz w:val="24"/>
          <w:szCs w:val="24"/>
        </w:rPr>
        <w:t xml:space="preserve">The proposed product uses a random forest classifier trained on player demographic </w:t>
      </w:r>
      <w:r>
        <w:rPr>
          <w:rFonts w:eastAsia="Times New Roman" w:cs="Times New Roman"/>
          <w:sz w:val="24"/>
          <w:szCs w:val="24"/>
        </w:rPr>
        <w:t xml:space="preserve">and behavioral </w:t>
      </w:r>
      <w:r>
        <w:rPr>
          <w:rFonts w:eastAsia="Times New Roman" w:cs="Times New Roman"/>
          <w:sz w:val="24"/>
          <w:szCs w:val="24"/>
        </w:rPr>
        <w:t>data to predict whether a given player falls into the whale, dolphin, or minnow spending category (corresponding to high-, moderate-, and low-value players, respectively). The system will provide an interactive dashboard with classification results, feature importance analysis, and exploration tools that allow product managers and marketing leads to act on the model's predictions without requiring technical expertise.</w:t>
      </w:r>
    </w:p>
    <w:p>
      <w:pPr>
        <w:pStyle w:val="Normal"/>
        <w:spacing w:before="0" w:after="0"/>
        <w:rPr/>
      </w:pPr>
      <w:r>
        <w:rPr/>
      </w:r>
    </w:p>
    <w:p>
      <w:pPr>
        <w:pStyle w:val="Normal"/>
        <w:spacing w:before="0" w:after="120"/>
        <w:rPr/>
      </w:pPr>
      <w:r>
        <w:rPr>
          <w:rFonts w:eastAsia="Times New Roman" w:cs="Times New Roman"/>
          <w:sz w:val="24"/>
          <w:szCs w:val="24"/>
        </w:rPr>
        <w:t>The project relies exclusively on open-source tools and a publicly available dataset. The total estimated development cost is $0 in software licensing, with the primary investment being approximately 65 hours of personnel time over 10 weeks.</w:t>
      </w:r>
    </w:p>
    <w:p>
      <w:pPr>
        <w:pStyle w:val="Normal"/>
        <w:spacing w:before="0" w:after="0"/>
        <w:rPr/>
      </w:pPr>
      <w:r>
        <w:rPr/>
      </w:r>
    </w:p>
    <w:p>
      <w:pPr>
        <w:pStyle w:val="Normal"/>
        <w:spacing w:before="0" w:after="120"/>
        <w:rPr/>
      </w:pPr>
      <w:r>
        <w:rPr>
          <w:rFonts w:eastAsia="Times New Roman" w:cs="Times New Roman"/>
          <w:sz w:val="24"/>
          <w:szCs w:val="24"/>
        </w:rPr>
        <w:t>I welcome any questions about the proposal and am available to discuss the project scope and methodology at your convenience.</w:t>
      </w:r>
    </w:p>
    <w:p>
      <w:pPr>
        <w:pStyle w:val="Normal"/>
        <w:spacing w:before="0" w:after="0"/>
        <w:rPr/>
      </w:pPr>
      <w:r>
        <w:rPr/>
      </w:r>
    </w:p>
    <w:p>
      <w:pPr>
        <w:pStyle w:val="Normal"/>
        <w:spacing w:before="0" w:after="120"/>
        <w:rPr/>
      </w:pPr>
      <w:r>
        <w:rPr>
          <w:rFonts w:eastAsia="Times New Roman" w:cs="Times New Roman"/>
          <w:sz w:val="24"/>
          <w:szCs w:val="24"/>
        </w:rPr>
        <w:t>Respectfully,</w:t>
      </w:r>
    </w:p>
    <w:p>
      <w:pPr>
        <w:pStyle w:val="Normal"/>
        <w:spacing w:before="0" w:after="120"/>
        <w:rPr/>
      </w:pPr>
      <w:r>
        <w:rPr>
          <w:rFonts w:eastAsia="Times New Roman" w:cs="Times New Roman"/>
          <w:sz w:val="24"/>
          <w:szCs w:val="24"/>
        </w:rPr>
        <w:t>Zachary Buffington</w:t>
      </w:r>
    </w:p>
    <w:p>
      <w:pPr>
        <w:pStyle w:val="Normal"/>
        <w:spacing w:before="0" w:after="120"/>
        <w:rPr/>
      </w:pPr>
      <w:r>
        <w:rPr>
          <w:rFonts w:eastAsia="Times New Roman" w:cs="Times New Roman"/>
          <w:sz w:val="24"/>
          <w:szCs w:val="24"/>
        </w:rPr>
        <w:t>Machine Learning Engineer</w:t>
      </w:r>
    </w:p>
    <w:p>
      <w:pPr>
        <w:pStyle w:val="Normal"/>
        <w:rPr/>
      </w:pPr>
      <w:r>
        <w:rPr/>
      </w:r>
      <w:r>
        <w:br w:type="page"/>
      </w:r>
    </w:p>
    <w:p>
      <w:pPr>
        <w:pStyle w:val="Heading1"/>
        <w:spacing w:before="0" w:after="200"/>
        <w:rPr/>
      </w:pPr>
      <w:r>
        <w:rPr>
          <w:rFonts w:eastAsia="Times New Roman" w:cs="Times New Roman" w:ascii="Times New Roman" w:hAnsi="Times New Roman"/>
          <w:b/>
          <w:bCs/>
          <w:sz w:val="32"/>
          <w:szCs w:val="32"/>
        </w:rPr>
        <w:t>Project Proposal</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Summary of the Problem</w:t>
      </w:r>
    </w:p>
    <w:p>
      <w:pPr>
        <w:pStyle w:val="Normal"/>
        <w:spacing w:before="0" w:after="120"/>
        <w:rPr/>
      </w:pPr>
      <w:r>
        <w:rPr>
          <w:rFonts w:eastAsia="Times New Roman" w:cs="Times New Roman"/>
          <w:sz w:val="24"/>
          <w:szCs w:val="24"/>
        </w:rPr>
        <w:t>Free-to-play mobile games depend on in-app purchases for revenue, but the distribution of that revenue across the player base is heavily skewed. Swrve's 2019 monetization report found that fewer than 2% of players made any purchases, and the top 10% of paying users accounted for nearly 2/3 of all revenue (Swrve, 2019). Players who spend at the highest levels are known colloquially as "whales," while moderate spenders are called "dolphins," and minimal or non-spenders are called "minnows."</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The core problem is that most game studios lack a reliable, automated method for identifying which segment a player best fits based on early behavioral signals. Without this capability, marketing budgets are allocated uniformly rather than concentrated on the players most likely to convert or increase their spending. Retention campaigns treat all players equally, diluting their effectiveness. Monetization features such as bundles or special offers cannot be personalized, resulting in lower conversion rates.</w:t>
      </w:r>
    </w:p>
    <w:p>
      <w:pPr>
        <w:pStyle w:val="Normal"/>
        <w:spacing w:before="0" w:after="0"/>
        <w:rPr/>
      </w:pPr>
      <w:r>
        <w:rPr/>
      </w:r>
    </w:p>
    <w:p>
      <w:pPr>
        <w:pStyle w:val="Normal"/>
        <w:spacing w:before="0" w:after="120"/>
        <w:rPr/>
      </w:pPr>
      <w:r>
        <w:rPr>
          <w:rFonts w:eastAsia="Times New Roman" w:cs="Times New Roman"/>
          <w:sz w:val="24"/>
          <w:szCs w:val="24"/>
        </w:rPr>
        <w:t xml:space="preserve">Rules-based heuristics have become the industry default, such as classifying any player who has spent over $100 as a whale. These static thresholds fail to capture the behavioral patterns that precede high spending adequately. A player who has spent $40 in the first week may be on a trajectory toward whale-level spending, but a fixed threshold would classify them as a dolphin or minnow. Machine learning offers a path toward earlier and more accurate classification by learning from the combination of gameplay behavior, demographic attributes, and transaction history rather than relying on a single variable (Semenov et al., 2022; Kim et al., 2017). </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Benefits of the Data Product</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The proposed data product delivers direct value to game studio decision-makers through targeted monetization, proactive retention, and feature importance analysis.</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By enabling targeted monetization through identifying potential whales before they reach peak spending, product managers can use this information to create personalized offers, time-limited bundles, or premium content for players predicted to have the highest lifetime value.</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Targeted monetization also allows for proactive retention. Players classified as dolphins represent a segment that could be encouraged to engage more through targeted incentives. Without classification, these players receive the same generic retention treatment as minnows, and the opportunity for revenue growth is lost.</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The model's feature importance analysis, delivered via SHAP (SHapley Additive exPlanations), provides business intelligence beyond individual predictions (Lundberg &amp; Lee, 2017). By revealing which player attributes carry the most predictive weight for spending segment membership, the analysis can inform decisions about game design, pricing strategy, and user acquisition targeting. If, for example, the model reveals that session frequency in the first 48 hours is a strong predictor of whale status, the studio can use randomized controlled trials to determine whether the correlation is causal, and, if so, adjust onboarding flows to maximize early engagement.</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Heading2"/>
        <w:spacing w:before="280" w:after="160"/>
        <w:rPr/>
      </w:pPr>
      <w:r>
        <w:rPr>
          <w:rFonts w:eastAsia="Times New Roman" w:cs="Times New Roman" w:ascii="Times New Roman" w:hAnsi="Times New Roman"/>
          <w:b/>
          <w:bCs/>
          <w:sz w:val="28"/>
          <w:szCs w:val="28"/>
        </w:rPr>
        <w:t>Outline of the Data Product</w:t>
      </w:r>
    </w:p>
    <w:p>
      <w:pPr>
        <w:pStyle w:val="Normal"/>
        <w:spacing w:before="0" w:after="120"/>
        <w:rPr/>
      </w:pPr>
      <w:r>
        <w:rPr>
          <w:rFonts w:eastAsia="Times New Roman" w:cs="Times New Roman"/>
          <w:sz w:val="24"/>
          <w:szCs w:val="24"/>
        </w:rPr>
        <w:t xml:space="preserve">The data product consists of two primary components. The first is a Python notebook that includes the entire data pipeline from preprocessing to model evaluation. The second component is a web-based interactive dashboard built with Streamlit. </w:t>
      </w:r>
    </w:p>
    <w:p>
      <w:pPr>
        <w:pStyle w:val="Normal"/>
        <w:spacing w:before="0" w:after="0"/>
        <w:rPr/>
      </w:pPr>
      <w:r>
        <w:rPr/>
      </w:r>
    </w:p>
    <w:p>
      <w:pPr>
        <w:pStyle w:val="Normal"/>
        <w:spacing w:before="0" w:after="120"/>
        <w:rPr/>
      </w:pPr>
      <w:r>
        <w:rPr>
          <w:rFonts w:eastAsia="Times New Roman" w:cs="Times New Roman"/>
          <w:sz w:val="24"/>
          <w:szCs w:val="24"/>
        </w:rPr>
        <w:t>The notebook starts its first section with exploratory data analysis. This includes statistical summaries, distribution histograms, correlation heatmaps, and class balance visualizations. This module serves as the descriptive analysis component of the product.</w:t>
      </w:r>
    </w:p>
    <w:p>
      <w:pPr>
        <w:pStyle w:val="Normal"/>
        <w:spacing w:before="0" w:after="0"/>
        <w:rPr/>
      </w:pPr>
      <w:r>
        <w:rPr/>
      </w:r>
    </w:p>
    <w:p>
      <w:pPr>
        <w:pStyle w:val="Normal"/>
        <w:spacing w:before="0" w:after="120"/>
        <w:rPr/>
      </w:pPr>
      <w:r>
        <w:rPr>
          <w:rFonts w:eastAsia="Times New Roman" w:cs="Times New Roman"/>
          <w:sz w:val="24"/>
          <w:szCs w:val="24"/>
        </w:rPr>
        <w:t xml:space="preserve">The second section of the notebook contains a data ingestion and preprocessing pipeline that handles missing values through median imputation for numeric columns and mode imputation for categorical columns, encodes categorical features, splits the data into training and test sets, and applies SMOTE (Synthetic Minority Over-sampling Technique) to balance the training data. </w:t>
      </w:r>
    </w:p>
    <w:p>
      <w:pPr>
        <w:pStyle w:val="Normal"/>
        <w:spacing w:before="0" w:after="0"/>
        <w:rPr/>
      </w:pPr>
      <w:r>
        <w:rPr/>
      </w:r>
    </w:p>
    <w:p>
      <w:pPr>
        <w:pStyle w:val="Normal"/>
        <w:spacing w:before="0" w:after="120"/>
        <w:rPr/>
      </w:pPr>
      <w:r>
        <w:rPr>
          <w:rFonts w:eastAsia="Times New Roman" w:cs="Times New Roman"/>
          <w:sz w:val="24"/>
          <w:szCs w:val="24"/>
        </w:rPr>
        <w:t xml:space="preserve">Section three of the notebook consists of the actual model training. Three different model architectures are trained: logistic regression, decision tree, and a random forest with hyperparameter tuning. </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Section four of the notebook evaluates all three models on the held-out test set using classification reports, confusion matrices, and SHAP analysis. The results are checked against predefined success criteria.</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Section five compares the primary model against a variant trained with InAppPurchaseAmount included to quantify the dataset’s dependency on that single feature.</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Section </w:t>
      </w:r>
      <w:r>
        <w:rPr>
          <w:rFonts w:eastAsia="Times New Roman" w:cs="Times New Roman"/>
          <w:sz w:val="24"/>
          <w:szCs w:val="24"/>
        </w:rPr>
        <w:t>six</w:t>
      </w:r>
      <w:r>
        <w:rPr>
          <w:rFonts w:eastAsia="Times New Roman" w:cs="Times New Roman"/>
          <w:sz w:val="24"/>
          <w:szCs w:val="24"/>
        </w:rPr>
        <w:t xml:space="preserve"> formally evaluates the project hypothesis and null hypothesis against the experimental results from section four, followed by a discussion.</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Heading2"/>
        <w:spacing w:before="280" w:after="160"/>
        <w:rPr/>
      </w:pPr>
      <w:r>
        <w:rPr>
          <w:rFonts w:eastAsia="Times New Roman" w:cs="Times New Roman" w:ascii="Times New Roman" w:hAnsi="Times New Roman"/>
          <w:b/>
          <w:bCs/>
          <w:sz w:val="28"/>
          <w:szCs w:val="28"/>
        </w:rPr>
        <w:t>Description of the Data</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The data source is the Mobile Game In-App Purchases Dataset 2025, published on Kaggle by Pratyush Puri (Puri, 2025). The dataset is synthetic, generated to simulate realistic player behavior in free-to-play mobile games. It contains player demographic attributes, such as age, gender, location, and device type; behavioral features, including session count, average session duration, and total playtime; and transactional features, such as the number of in-app purchases. The target variable is the player's spending segment: whale, dolphin, or minnow.</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The dataset includes intentional missing values at rates of 2-5% per column to simulate real-world data quality issues (Puri, 2025). The class distribution is imbalanced, with minnows comprising roughly 85% of observations, dolphins approximately 13%, and whales approximately 2%. The imbalance reflects actual industry spending distributions and requires explicit handling during model training. </w:t>
      </w:r>
    </w:p>
    <w:p>
      <w:pPr>
        <w:pStyle w:val="Normal"/>
        <w:spacing w:before="0" w:after="0"/>
        <w:rPr/>
      </w:pPr>
      <w:r>
        <w:rPr/>
      </w:r>
    </w:p>
    <w:p>
      <w:pPr>
        <w:pStyle w:val="Normal"/>
        <w:spacing w:before="0" w:after="120"/>
        <w:rPr/>
      </w:pPr>
      <w:r>
        <w:rPr>
          <w:rFonts w:eastAsia="Times New Roman" w:cs="Times New Roman"/>
          <w:sz w:val="24"/>
          <w:szCs w:val="24"/>
        </w:rPr>
        <w:t>The dataset is publicly available under Kaggle's standard terms of use and contains no personally identifiable information. Because the data is synthetic, there are no privacy or regulatory compliance concerns associated with its use for model development.</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Objectives and Hypotheses</w:t>
      </w:r>
    </w:p>
    <w:p>
      <w:pPr>
        <w:pStyle w:val="BodyText"/>
        <w:spacing w:before="0" w:after="120"/>
        <w:rPr>
          <w:rFonts w:ascii="Times New Roman" w:hAnsi="Times New Roman" w:eastAsia="Times New Roman" w:cs="Times New Roman"/>
          <w:sz w:val="24"/>
          <w:szCs w:val="24"/>
        </w:rPr>
      </w:pPr>
      <w:r>
        <w:rPr>
          <w:rFonts w:eastAsia="Times New Roman" w:cs="Times New Roman"/>
          <w:sz w:val="24"/>
          <w:szCs w:val="24"/>
        </w:rPr>
        <w:t>The primary objective of this project is to train and validate a classification model that achieves a macro-averaged F1-score of at least 0.80 on held-out test data across all three spending segments. A secondary objective is to identify the five features most predictive of spending segment membership through SHAP analysis and to document those findings for business stakeholders. A third objective is to assess whether the model's predictive performance depends on the inclusion of InAppPurchaseAmount, a feature that functions as a proxy for the target variable and would not be available in an early-lifecycle deployment scenario. This assessment is conducted by training and evaluating two versions of the model: one with InAppPurchaseAmount included and one without. A fourth objective is to deliver a fully reproducible analysis pipeline, documented in a Python notebook that can be re-executed end-to-end to regenerate all reported results.</w:t>
      </w:r>
    </w:p>
    <w:p>
      <w:pPr>
        <w:pStyle w:val="BodyText"/>
        <w:spacing w:before="0" w:after="120"/>
        <w:rPr/>
      </w:pPr>
      <w:r>
        <w:rPr/>
        <w:t>The project hypothesis is that a random forest classifier trained on player demographic and behavioral features can predict a player's spending segment with a macro-averaged F1-score of 0.80 or higher. The null hypothesis is that the selected features do not contain sufficient information to classify players at a rate meaningfully exceeding a majority-class baseline, which would achieve approximately 85% accuracy by predicting all players as minnows but would produce 0% recall for the whale and dolphin classes. If the model meets the F1 threshold only when InAppPurchaseAmount is included, the hypothesis is accepted with the qualification that the dataset's segment labels are derived from that feature, and that the remaining demographic and behavioral attributes lack sufficient independent predictive signal for the classification task.</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Heading2"/>
        <w:spacing w:before="280" w:after="160"/>
        <w:rPr/>
      </w:pPr>
      <w:r>
        <w:rPr>
          <w:rFonts w:eastAsia="Times New Roman" w:cs="Times New Roman" w:ascii="Times New Roman" w:hAnsi="Times New Roman"/>
          <w:b/>
          <w:bCs/>
          <w:sz w:val="28"/>
          <w:szCs w:val="28"/>
        </w:rPr>
        <w:t>Project Methodology</w:t>
      </w:r>
    </w:p>
    <w:p>
      <w:pPr>
        <w:pStyle w:val="Normal"/>
        <w:spacing w:before="0" w:after="120"/>
        <w:rPr/>
      </w:pPr>
      <w:r>
        <w:rPr>
          <w:rFonts w:eastAsia="Times New Roman" w:cs="Times New Roman"/>
          <w:sz w:val="24"/>
          <w:szCs w:val="24"/>
        </w:rPr>
        <w:t xml:space="preserve">The project follows the Cross-Industry Standard Process for Data Mining (CRISP-DM), a six-phase framework for data science projects (Wirth &amp; Hipp, 2000). </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Business Understanding:</w:t>
      </w:r>
      <w:r>
        <w:rPr>
          <w:rFonts w:eastAsia="Times New Roman" w:cs="Times New Roman"/>
          <w:color w:val="0E101A"/>
          <w:sz w:val="24"/>
          <w:szCs w:val="24"/>
          <w:shd w:fill="auto" w:val="clear"/>
        </w:rPr>
        <w:t xml:space="preserve"> Spending segment classification is a business need to optimize monetization. Currently, studios lack predictive segmentation tools. This creates an opportunity for a multi-class classification machine learning algorithm.</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Data Understanding: </w:t>
      </w:r>
      <w:r>
        <w:rPr>
          <w:rFonts w:eastAsia="Times New Roman" w:cs="Times New Roman"/>
          <w:color w:val="0E101A"/>
          <w:sz w:val="24"/>
          <w:szCs w:val="24"/>
          <w:shd w:fill="auto" w:val="clear"/>
        </w:rPr>
        <w:t xml:space="preserve">Load the Kaggle dataset, profile all columns for data types, missing value rates, and value distributions. Produce visualizations of spending segment distributions, feature correlations, and class imbalance. Identify initial patterns in demographic and behavioral features that may distinguish segments. </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Data Preparation: </w:t>
      </w:r>
      <w:r>
        <w:rPr>
          <w:rFonts w:eastAsia="Times New Roman" w:cs="Times New Roman"/>
          <w:color w:val="0E101A"/>
          <w:sz w:val="24"/>
          <w:szCs w:val="24"/>
          <w:shd w:fill="auto" w:val="clear"/>
        </w:rPr>
        <w:t>Handle missing values through imputation (median for numeric features, mode for categorical features). Encode categorical variables using label encoding. Apply SMOTE to the training partition to synthesize additional whale and dolphin examples, addressing class imbalance without contaminating the test set.</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Modeling: </w:t>
      </w:r>
      <w:r>
        <w:rPr>
          <w:rFonts w:eastAsia="Times New Roman" w:cs="Times New Roman"/>
          <w:color w:val="0E101A"/>
          <w:sz w:val="24"/>
          <w:szCs w:val="24"/>
          <w:shd w:fill="auto" w:val="clear"/>
        </w:rPr>
        <w:t>Train a random forest classifier as the primary model. Train logistic regression and a single decision tree as baselines. Perform hyperparameter tuning on the random forest using 5-fold stratified cross-validation with GridSearchCV.</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Evaluation: </w:t>
      </w:r>
      <w:r>
        <w:rPr>
          <w:rFonts w:eastAsia="Times New Roman" w:cs="Times New Roman"/>
          <w:color w:val="0E101A"/>
          <w:sz w:val="24"/>
          <w:szCs w:val="24"/>
          <w:shd w:fill="auto" w:val="clear"/>
        </w:rPr>
        <w:t xml:space="preserve">Assess all models using precision, recall, F1-score, and confusion matrices. Conduct SHAP analysis on the best-performing model to produce global and local feature importance rankings. Compare results against the predefined success criteria. </w:t>
      </w:r>
      <w:r>
        <w:rPr>
          <w:rFonts w:eastAsia="Times New Roman" w:cs="Times New Roman"/>
          <w:color w:val="0E101A"/>
          <w:sz w:val="24"/>
          <w:szCs w:val="24"/>
          <w:shd w:fill="auto" w:val="clear"/>
        </w:rPr>
        <w:t>Conduct a feature dependency analysis by retraining the model with InAppPurchaseAmount included to quantify the contribution of that single feature and assess the predictive value of the remaining attributes.</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Deployment: </w:t>
      </w:r>
      <w:r>
        <w:rPr>
          <w:rFonts w:eastAsia="Times New Roman" w:cs="Times New Roman"/>
          <w:color w:val="0E101A"/>
          <w:sz w:val="24"/>
          <w:szCs w:val="24"/>
          <w:shd w:fill="auto" w:val="clear"/>
        </w:rPr>
        <w:t>Package the trained model and preprocessing pipeline. Build the interactive dashboard and deploy to Streamlit Cloud.</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Funding Requirements</w:t>
      </w:r>
    </w:p>
    <w:p>
      <w:pPr>
        <w:pStyle w:val="Normal"/>
        <w:spacing w:before="0" w:after="120"/>
        <w:rPr/>
      </w:pPr>
      <w:r>
        <w:rPr>
          <w:rFonts w:eastAsia="Times New Roman" w:cs="Times New Roman"/>
          <w:sz w:val="24"/>
          <w:szCs w:val="24"/>
        </w:rPr>
        <w:t>This project has been designed to operate at zero direct cost. All software dependencies are open-source and freely licensed. The dataset is publicly available on Kaggle at no charge. Model training will take place on Google Colab's free tier.</w:t>
      </w:r>
    </w:p>
    <w:p>
      <w:pPr>
        <w:pStyle w:val="Normal"/>
        <w:spacing w:before="0" w:after="0"/>
        <w:rPr/>
      </w:pPr>
      <w:r>
        <w:rPr/>
      </w:r>
    </w:p>
    <w:p>
      <w:pPr>
        <w:pStyle w:val="Normal"/>
        <w:spacing w:before="0" w:after="120"/>
        <w:rPr/>
      </w:pPr>
      <w:r>
        <w:rPr>
          <w:rFonts w:eastAsia="Times New Roman" w:cs="Times New Roman"/>
          <w:sz w:val="24"/>
          <w:szCs w:val="24"/>
        </w:rPr>
        <w:t xml:space="preserve">The primary resource investment is personnel time. The estimated effort is 65 hours over 10 weeks, broken down as 10 hours for planning and design, 40 hours for development, and 15 hours for documentation. If this project were staffed by a contracted data scientist at a market rate of $75 an hour, the labor cost would be $4,875. In this case, the work is being performed by a student at no cost to the organization. No additional infrastructure procurement, software licensing, or third-party service fees are required. </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Impact of the Solution on Stakeholders</w:t>
      </w:r>
    </w:p>
    <w:p>
      <w:pPr>
        <w:pStyle w:val="Normal"/>
        <w:spacing w:before="0" w:after="120"/>
        <w:rPr/>
      </w:pPr>
      <w:r>
        <w:rPr>
          <w:rFonts w:eastAsia="Times New Roman" w:cs="Times New Roman"/>
          <w:sz w:val="24"/>
          <w:szCs w:val="24"/>
        </w:rPr>
        <w:t>The product managers and marketing leads are the primary stakeholders. The classifier introduces a data-driven bias in how it allocates promotional budgets, designs personalized offers, and prioritizes retention campaigns. Instead of relying on intuition or static thresholds, the model provides probabilistic segment predictions backed by interpretable feature analysis.</w:t>
      </w:r>
    </w:p>
    <w:p>
      <w:pPr>
        <w:pStyle w:val="Normal"/>
        <w:spacing w:before="0" w:after="0"/>
        <w:rPr/>
      </w:pPr>
      <w:r>
        <w:rPr/>
      </w:r>
    </w:p>
    <w:p>
      <w:pPr>
        <w:pStyle w:val="Normal"/>
        <w:spacing w:before="0" w:after="120"/>
        <w:rPr/>
      </w:pPr>
      <w:r>
        <w:rPr>
          <w:rFonts w:eastAsia="Times New Roman" w:cs="Times New Roman"/>
          <w:sz w:val="24"/>
          <w:szCs w:val="24"/>
        </w:rPr>
        <w:t>The data engineering and analytics team is affected because the product introduces a new model artifact and dashboard that will need to be maintained. The pipeline is documented and reproducible, which reduces the onboarding burden for engineers who inherit the system. However, the team will need to establish a retraining schedule if the model is deployed against live player data, since player behavior patterns may shift as the game evolves.</w:t>
      </w:r>
    </w:p>
    <w:p>
      <w:pPr>
        <w:pStyle w:val="Normal"/>
        <w:spacing w:before="0" w:after="0"/>
        <w:rPr/>
      </w:pPr>
      <w:r>
        <w:rPr/>
      </w:r>
    </w:p>
    <w:p>
      <w:pPr>
        <w:pStyle w:val="Normal"/>
        <w:spacing w:before="0" w:after="120"/>
        <w:rPr/>
      </w:pPr>
      <w:r>
        <w:rPr>
          <w:rFonts w:eastAsia="Times New Roman" w:cs="Times New Roman"/>
          <w:sz w:val="24"/>
          <w:szCs w:val="24"/>
        </w:rPr>
        <w:t>Game designers benefit indirectly. The SHAP analysis will surface which gameplay behaviors are most predictive of high spending. These findings can inform design decisions about progression systems, reward pacing, and content gating.</w:t>
      </w:r>
    </w:p>
    <w:p>
      <w:pPr>
        <w:pStyle w:val="Normal"/>
        <w:spacing w:before="0" w:after="0"/>
        <w:rPr/>
      </w:pPr>
      <w:r>
        <w:rPr/>
      </w:r>
    </w:p>
    <w:p>
      <w:pPr>
        <w:pStyle w:val="Normal"/>
        <w:spacing w:before="0" w:after="120"/>
        <w:rPr/>
      </w:pPr>
      <w:r>
        <w:rPr>
          <w:rFonts w:eastAsia="Times New Roman" w:cs="Times New Roman"/>
          <w:sz w:val="24"/>
          <w:szCs w:val="24"/>
        </w:rPr>
        <w:t>Players are affected as end users. If the model is used responsibly, players receive more relevant offers and a better-tailored game experience. If misused, there is a risk of exploitative monetization practices, particularly to players who may be vulnerable to compulsive spending. This concern is addressed in the ethical considerations section below.</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Ethical and Legal Considerations</w:t>
      </w:r>
    </w:p>
    <w:p>
      <w:pPr>
        <w:pStyle w:val="Normal"/>
        <w:spacing w:before="0" w:after="120"/>
        <w:rPr/>
      </w:pPr>
      <w:r>
        <w:rPr>
          <w:rFonts w:eastAsia="Times New Roman" w:cs="Times New Roman"/>
          <w:sz w:val="24"/>
          <w:szCs w:val="24"/>
        </w:rPr>
        <w:t xml:space="preserve">Although this project uses a synthetic dataset with no personally identifiable information, the design and documentation anticipate the ethical and legal requirements of a production deployment involving real player data. </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Data Privacy: </w:t>
      </w:r>
      <w:r>
        <w:rPr>
          <w:rFonts w:eastAsia="Times New Roman" w:cs="Times New Roman"/>
          <w:color w:val="0E101A"/>
          <w:sz w:val="24"/>
          <w:szCs w:val="24"/>
          <w:shd w:fill="auto" w:val="clear"/>
        </w:rPr>
        <w:t>Any production implementation involving real player data must comply with applicable regulations, including the General Data Protection Regulation (GDPR) for European users, the Children's Online Privacy Protection Act (COPPA) for players under 13, and the California Consumer Privacy Act (CCPA) for California residents. Compliance requires obtaining informed consent for data collection, enabling players to access, correct, and delete their data, and providing clear opt-out mechanisms for behavioral profiling.</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Data Minimization: </w:t>
      </w:r>
      <w:r>
        <w:rPr>
          <w:rFonts w:eastAsia="Times New Roman" w:cs="Times New Roman"/>
          <w:color w:val="0E101A"/>
          <w:sz w:val="24"/>
          <w:szCs w:val="24"/>
          <w:shd w:fill="auto" w:val="clear"/>
        </w:rPr>
        <w:t xml:space="preserve">The project retains only the features necessary for classification. The UserID field is dropped during preprocessing, and no feature that could serve as a direct personal identifier is included in the model. In a production context, data retention policies should limit the duration for which raw player data is stored. </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Responsible Use of Predictions: </w:t>
      </w:r>
      <w:r>
        <w:rPr>
          <w:rFonts w:eastAsia="Times New Roman" w:cs="Times New Roman"/>
          <w:color w:val="0E101A"/>
          <w:sz w:val="24"/>
          <w:szCs w:val="24"/>
          <w:shd w:fill="auto" w:val="clear"/>
        </w:rPr>
        <w:t xml:space="preserve">The spending segment classifier should be used to improve the player experience through personalization, not to exploit vulnerabilities. Specifically, predictions should not be used to apply aggressive monetization pressure to players identified as compulsive spenders. Internal use policies should define acceptable and prohibited applications of the model's output, and compliance with those policies should be auditable. </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Bias and Fairness: </w:t>
      </w:r>
      <w:r>
        <w:rPr>
          <w:rFonts w:eastAsia="Times New Roman" w:cs="Times New Roman"/>
          <w:color w:val="0E101A"/>
          <w:sz w:val="24"/>
          <w:szCs w:val="24"/>
          <w:shd w:fill="auto" w:val="clear"/>
        </w:rPr>
        <w:t xml:space="preserve">Although the synthetic dataset does not reflect real demographic biases, a production model trained on actual data should be evaluated for fairness across demographic groups. If the model disproportionately classifies players of a particular age group or region as minnows, the resulting marketing strategies could systematically exclude those groups from premium experiences. </w:t>
      </w:r>
    </w:p>
    <w:p>
      <w:pPr>
        <w:pStyle w:val="Normal"/>
        <w:spacing w:before="0" w:after="0"/>
        <w:rPr/>
      </w:pPr>
      <w:r>
        <w:rPr/>
      </w:r>
    </w:p>
    <w:p>
      <w:pPr>
        <w:pStyle w:val="Normal"/>
        <w:spacing w:before="0" w:after="120"/>
        <w:rPr>
          <w:rFonts w:ascii="Times New Roman" w:hAnsi="Times New Roman" w:eastAsia="Times New Roman" w:cs="Times New Roman"/>
          <w:sz w:val="24"/>
          <w:szCs w:val="24"/>
        </w:rPr>
      </w:pPr>
      <w:r>
        <w:rPr>
          <w:rStyle w:val="Strong"/>
          <w:rFonts w:eastAsia="Times New Roman" w:cs="Times New Roman"/>
          <w:color w:val="0E101A"/>
          <w:sz w:val="24"/>
          <w:szCs w:val="24"/>
          <w:shd w:fill="auto" w:val="clear"/>
        </w:rPr>
        <w:t xml:space="preserve">Access Controls: </w:t>
      </w:r>
      <w:r>
        <w:rPr>
          <w:rFonts w:eastAsia="Times New Roman" w:cs="Times New Roman"/>
          <w:color w:val="0E101A"/>
          <w:sz w:val="24"/>
          <w:szCs w:val="24"/>
          <w:shd w:fill="auto" w:val="clear"/>
        </w:rPr>
        <w:t>All data and model artifacts are stored in access-controlled environments. In production, access to raw player behavioral and transaction data should be restricted to authorized personnel on a need-to-know basis.</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Relevant Expertise</w:t>
      </w:r>
    </w:p>
    <w:p>
      <w:pPr>
        <w:pStyle w:val="Normal"/>
        <w:spacing w:before="0" w:after="120"/>
        <w:rPr/>
      </w:pPr>
      <w:r>
        <w:rPr>
          <w:rFonts w:eastAsia="Times New Roman" w:cs="Times New Roman"/>
          <w:sz w:val="24"/>
          <w:szCs w:val="24"/>
        </w:rPr>
        <w:t>The product lead holds coursework and practical experience in machine learning, data analysis, and software development from Western Governors University's Computer Science program. Relevant competencies from the program include data preprocessing, pandas and NumPy, and data visualization. Additional experience from personal projects includes Python Notebooks, supervised classification with scikit-learn, and data acquisition.</w:t>
      </w:r>
    </w:p>
    <w:p>
      <w:pPr>
        <w:pStyle w:val="Normal"/>
        <w:rPr/>
      </w:pPr>
      <w:r>
        <w:rPr/>
      </w:r>
      <w:r>
        <w:br w:type="page"/>
      </w:r>
    </w:p>
    <w:p>
      <w:pPr>
        <w:pStyle w:val="Heading1"/>
        <w:spacing w:before="0" w:after="200"/>
        <w:rPr/>
      </w:pPr>
      <w:r>
        <w:rPr>
          <w:rFonts w:eastAsia="Times New Roman" w:cs="Times New Roman" w:ascii="Times New Roman" w:hAnsi="Times New Roman"/>
          <w:b/>
          <w:bCs/>
          <w:sz w:val="32"/>
          <w:szCs w:val="32"/>
        </w:rPr>
        <w:t>Section B: Executive Summary for IT Professionals</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Decision Support Problem</w:t>
      </w:r>
    </w:p>
    <w:p>
      <w:pPr>
        <w:pStyle w:val="Normal"/>
        <w:spacing w:before="0" w:after="120"/>
        <w:rPr/>
      </w:pPr>
      <w:r>
        <w:rPr>
          <w:rFonts w:eastAsia="Times New Roman" w:cs="Times New Roman"/>
          <w:sz w:val="24"/>
          <w:szCs w:val="24"/>
        </w:rPr>
        <w:t>Mobile game studios operating under the free-to-play model face a classification problem: how to determine, with reasonable accuracy and early in a player's lifecycle, whether a player will become a whale, a dolphin, or a minnow. The revenue distribution in free-to-play games is extremely top-heavy. According to Swrve's 2019 monetization report, 64.5% of total in-app purchase revenue comes from the top 10% of payer users, and only 1.63% of all users make any purchase at all (Swrve, 2019).</w:t>
      </w:r>
    </w:p>
    <w:p>
      <w:pPr>
        <w:pStyle w:val="Normal"/>
        <w:spacing w:before="0" w:after="0"/>
        <w:rPr/>
      </w:pPr>
      <w:r>
        <w:rPr/>
      </w:r>
    </w:p>
    <w:p>
      <w:pPr>
        <w:pStyle w:val="Normal"/>
        <w:spacing w:before="0" w:after="120"/>
        <w:rPr/>
      </w:pPr>
      <w:r>
        <w:rPr>
          <w:rFonts w:eastAsia="Times New Roman" w:cs="Times New Roman"/>
          <w:sz w:val="24"/>
          <w:szCs w:val="24"/>
        </w:rPr>
        <w:t>The decision support opportunity is to replace static, rules-based segmentation heuristics with a trained classification model that can ingest player behavioral and transactional features and return a predicted spending segment. This prediction enables downstream decisions about marketing spend allocation, personalized offer design, and retention campaign targeting. Without accurate segmentation, these decisions are made uniformly across the player base, wasting resources on low-value players and underinvesting in high-value ones.</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Customers and Product Fit</w:t>
      </w:r>
    </w:p>
    <w:p>
      <w:pPr>
        <w:pStyle w:val="Normal"/>
        <w:spacing w:before="0" w:after="120"/>
        <w:rPr/>
      </w:pPr>
      <w:r>
        <w:rPr>
          <w:rFonts w:eastAsia="Times New Roman" w:cs="Times New Roman"/>
          <w:sz w:val="24"/>
          <w:szCs w:val="24"/>
        </w:rPr>
        <w:t xml:space="preserve">The primary customers of this data product are product managers, marketing analysts, and monetization leads within a mobile game studio. These users need to know which players are most likely to generate high revenue so that they can make informed decisions about where to direct promotional spending and retention efforts. The product addresses this need by providing a classification model that outputs a predicted spending segment for each player, along with the features that most strongly influenced the prediction. </w:t>
      </w:r>
    </w:p>
    <w:p>
      <w:pPr>
        <w:pStyle w:val="Normal"/>
        <w:spacing w:before="0" w:after="0"/>
        <w:rPr/>
      </w:pPr>
      <w:r>
        <w:rPr/>
      </w:r>
    </w:p>
    <w:p>
      <w:pPr>
        <w:pStyle w:val="Normal"/>
        <w:spacing w:before="0" w:after="120"/>
        <w:rPr/>
      </w:pPr>
      <w:r>
        <w:rPr>
          <w:rFonts w:eastAsia="Times New Roman" w:cs="Times New Roman"/>
          <w:sz w:val="24"/>
          <w:szCs w:val="24"/>
        </w:rPr>
        <w:t>A secondary customer group is the data analytics and engineering teams responsible for maintaining the studio's data infrastructure. For this group, the product provides a documented, reproducible pipeline that can be integrated into existing data workflows, retrained on updated player data, and extended with additional features or models as business needs evolve.</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Gaps in Existing Solutions</w:t>
      </w:r>
    </w:p>
    <w:p>
      <w:pPr>
        <w:pStyle w:val="Normal"/>
        <w:spacing w:before="0" w:after="120"/>
        <w:rPr/>
      </w:pPr>
      <w:r>
        <w:rPr>
          <w:rFonts w:eastAsia="Times New Roman" w:cs="Times New Roman"/>
          <w:sz w:val="24"/>
          <w:szCs w:val="24"/>
        </w:rPr>
        <w:t>Current industry practice for player segmentation relies on static threshold rules. A common approach is to define any player who spends above a fixed dollar threshold as a whale. This method has several weaknesses. It cannot identify future whales before they cross the threshold. It does not account for behavioral signals that distinguish high-trajectory players from one-time large purchasers. It treats all players below the threshold identically, failing to distinguish dolphins who may be on an upward spending trajectory from true minnows.</w:t>
      </w:r>
    </w:p>
    <w:p>
      <w:pPr>
        <w:pStyle w:val="Normal"/>
        <w:spacing w:before="0" w:after="0"/>
        <w:rPr/>
      </w:pPr>
      <w:r>
        <w:rPr/>
      </w:r>
    </w:p>
    <w:p>
      <w:pPr>
        <w:pStyle w:val="Normal"/>
        <w:spacing w:before="0" w:after="120"/>
        <w:rPr/>
      </w:pPr>
      <w:r>
        <w:rPr>
          <w:rFonts w:eastAsia="Times New Roman" w:cs="Times New Roman"/>
          <w:sz w:val="24"/>
          <w:szCs w:val="24"/>
        </w:rPr>
        <w:t>Some studios have experimented with cohort analysis and RFM (Recency, Frequency, Monetary) scoring, but these methods are descriptive rather than predictive. They summarize past behavior without making forward-looking classifications. The proposed product fills this gap by training a predictive model that learns from the joint distribution of multiple features, capturing non-linear relationships and interaction effects that simple rules and summary statistics cannot represent.</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Available Data</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The product will be developed using the Mobile Game In-App Purchases Dataset 2025 from Kaggle (Puri, 2025). The dataset is synthetic, generated to simulate realistic player behavior in free-to-play mobile games. It contains player demographic attributes, such as age, gender, location, and device type; behavioral features, including session count, average session duration, and total playtime; and transactional features, such as the number of in-app purchases. </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The dataset includes intentional missing values at rates of 2-5% per column to simulate real-world data quality issues (Puri, 2025). The class distribution is imbalanced, with minnows comprising roughly 85% of observations, dolphins approximately 13%, and whales approximately 2%. The imbalance reflects actual industry spending distributions and requires explicit handling during model training. </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In a production context, equivalent data would be sourced from the studio's game analytics platform, player database, and transaction logs. The pipeline is designed so that the preprocessing and feature engineering steps can be adapted to a live data source with minimal modification.</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Design and Development Methodology</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The project follows the CRISP-DM (Cross-Industry Standard Process for Data Mining) framework, widely adopted for data mining and machine learning projects (Wirth &amp; Hipp, 2000). CRISP-DM organizes work into six iterative phases: Business Understanding, Data Understanding, Data Preparation, Modeling, Evaluation, and Deployment. Each phase produces defined artifacts that feed into the next, and the process allows for iteration when evaluation reveals that earlier assumptions need to be revised. </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CRISP-DM was selected because it is not tied to a particular tool or platform, emphasizes the connection between business objectives and technical work, and provides a clear structure for documentation and reproducibility. The framework is well-suited to a project of this scope, where the primary challenge is not algorithmic novelty but rather the disciplined application of standard classification techniques to a well-defined business problem.</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Deliverables</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The project will produce the following deliverables. A trained random forest classification model serialized as a joblib file, along with trained baseline models for comparison purposes. A Python Notebook containing the complete analysis pipeline, from data loading and preprocessing through model training, evaluation, and SHAP analysis. All code cells will be executable end-to-end to reproduce results. </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An interactive web-based dashboard providing classification results, feature importance visualizations, and exploratory data analysis tools. The dashboard will include at least three visualization types: bar charts for class distributions and per-class metrics, a heatmap for the confusion matrix and feature correlations, and scatter plots for feature-level exploration.</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A project report documenting the methodology, data preparation steps, model evaluation results, hypothesis assessment, and business recommendations. A quick-start guide with installation and usage instructions for the dashboard and notebook.</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Implementation Plan and Anticipated Outcomes</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Implementation proceeds through three stages. In the development stage (weeks 1 through 6), the pipeline is built iteratively following CRISP-DM phases: business framing, data profiling, preprocessing, feature engineering, model training, and model evaluation. Each phase is completed in the Python Notebook, with outputs verified before proceeding to the next. </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In the integration stage (weeks 7 and 8), the trained model is packaged and connected to the dashboard frontend. The dashboard is tested for usability, accuracy of displayed results, and responsiveness of interactive queries.</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In the documentation and delivery stage (weeks 9 and 10), all deliverables are finalized, the quick-start guide is written, and the final report is assembled. </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The anticipated outcome is a validated classifier that meets the F1 &gt;= 0.80 success criterion, a dashboard that enables nontechnical users to explore and act on segment predictions, and a documented pipeline that can be adapted for production deployment on real player data.</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Validation and Verification Methods</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Model validation will use a stratified 80/20 train-test split to ensure that class proportions are preserved in both partitions. During training, 5-fold stratified cross-validation will be used to tune hyperparameters and obtain stable performance estimates. The test set will be held out until the final evaluation to prevent data leakage. </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Verification that the product meets requirements will be conducted against the predefined success criteria: a macro-averaged F1-score of at least 0.80, per-class whale recall exceeding 0.70, and production of a ranked feature importance list via SHAP. Confusion matrices will be inspected to verify that the model does not achieve its aggregate score by performing well on the majority class while failing on the minority classes.</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Dashboard verification will confirm that displayed visualizations match the underlying model outputs, that interactive queries return correct filtered results, and that the interface is usable without technical training. Testing will include manual inspection of edge cases, such as players with high missing-value rates, to confirm that the preprocessing pipeline handles them without errors.</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Programming Environments, Costs, and Human Resources</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 xml:space="preserve">All development will be conducted in Python 3.10+ using the following libraries: pandas and NumPy for data manipulation; scikit-learn for model training and evaluation; imbalanced-learn for SMOTE oversampling; SHAP for feature importance analysis; and matplotlib and seaborn for visualization. The dashboard will be built using Streamlit. The development environment is Google Colab for the data pipeline, and VS Code as the primary code editor. </w:t>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120"/>
        <w:rPr>
          <w:rFonts w:ascii="Times New Roman" w:hAnsi="Times New Roman" w:eastAsia="Times New Roman" w:cs="Times New Roman"/>
          <w:sz w:val="24"/>
          <w:szCs w:val="24"/>
        </w:rPr>
      </w:pPr>
      <w:r>
        <w:rPr>
          <w:rFonts w:eastAsia="Times New Roman" w:cs="Times New Roman"/>
          <w:sz w:val="24"/>
          <w:szCs w:val="24"/>
        </w:rPr>
        <w:t>All software is open-source and freely licensed. There are no licensing fees, cloud compute charges, or infrastructure costs. The total direct cost of the project is $0. The project requires one person: a data scientist/machine learning engineer serving as the project lead. This person is responsible for all phases, from data acquisition through dashboard development and documentation. The estimated effort is 65 hours spread over 10 weeks. No additional personnel, external contractors, or specialized hardware are required.</w:t>
      </w:r>
    </w:p>
    <w:p>
      <w:pPr>
        <w:pStyle w:val="Normal"/>
        <w:spacing w:before="0" w:after="0"/>
        <w:rPr/>
      </w:pPr>
      <w:r>
        <w:rPr/>
        <w:br/>
      </w:r>
    </w:p>
    <w:p>
      <w:pPr>
        <w:pStyle w:val="Heading2"/>
        <w:spacing w:before="280" w:after="160"/>
        <w:rPr/>
      </w:pPr>
      <w:r>
        <w:rPr>
          <w:rFonts w:eastAsia="Times New Roman" w:cs="Times New Roman" w:ascii="Times New Roman" w:hAnsi="Times New Roman"/>
          <w:b/>
          <w:bCs/>
          <w:sz w:val="28"/>
          <w:szCs w:val="28"/>
        </w:rPr>
        <w:t>Projected Timeline</w:t>
      </w:r>
    </w:p>
    <w:p>
      <w:pPr>
        <w:pStyle w:val="Normal"/>
        <w:spacing w:before="0" w:after="120"/>
        <w:rPr/>
      </w:pPr>
      <w:r>
        <w:rPr>
          <w:rFonts w:eastAsia="Times New Roman" w:cs="Times New Roman"/>
          <w:sz w:val="24"/>
          <w:szCs w:val="24"/>
        </w:rPr>
        <w:t>The following table presents the project timeline with milestones, dates, durations, dependencies, and resource assignments. All tasks are assigned to the project lead (Zachary Buffington). The total project duration is 10 weeks.</w:t>
      </w:r>
    </w:p>
    <w:p>
      <w:pPr>
        <w:pStyle w:val="Normal"/>
        <w:spacing w:before="0" w:after="0"/>
        <w:rPr/>
      </w:pPr>
      <w:r>
        <w:rPr/>
      </w:r>
    </w:p>
    <w:tbl>
      <w:tblPr>
        <w:tblW w:w="9360" w:type="dxa"/>
        <w:jc w:val="start"/>
        <w:tblInd w:w="0" w:type="dxa"/>
        <w:tblLayout w:type="fixed"/>
        <w:tblCellMar>
          <w:top w:w="60" w:type="dxa"/>
          <w:start w:w="100" w:type="dxa"/>
          <w:bottom w:w="60" w:type="dxa"/>
          <w:end w:w="100" w:type="dxa"/>
        </w:tblCellMar>
      </w:tblPr>
      <w:tblGrid>
        <w:gridCol w:w="499"/>
        <w:gridCol w:w="2201"/>
        <w:gridCol w:w="1100"/>
        <w:gridCol w:w="1099"/>
        <w:gridCol w:w="701"/>
        <w:gridCol w:w="1099"/>
        <w:gridCol w:w="1300"/>
        <w:gridCol w:w="1361"/>
      </w:tblGrid>
      <w:tr>
        <w:trPr/>
        <w:tc>
          <w:tcPr>
            <w:tcW w:w="499"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w:t>
            </w:r>
          </w:p>
        </w:tc>
        <w:tc>
          <w:tcPr>
            <w:tcW w:w="2201"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Milestone</w:t>
            </w:r>
          </w:p>
        </w:tc>
        <w:tc>
          <w:tcPr>
            <w:tcW w:w="1100"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Start</w:t>
            </w:r>
          </w:p>
        </w:tc>
        <w:tc>
          <w:tcPr>
            <w:tcW w:w="1099"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End</w:t>
            </w:r>
          </w:p>
        </w:tc>
        <w:tc>
          <w:tcPr>
            <w:tcW w:w="701"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Hrs</w:t>
            </w:r>
          </w:p>
        </w:tc>
        <w:tc>
          <w:tcPr>
            <w:tcW w:w="1099"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CRISP-DM Phase</w:t>
            </w:r>
          </w:p>
        </w:tc>
        <w:tc>
          <w:tcPr>
            <w:tcW w:w="1300"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Dependencies</w:t>
            </w:r>
          </w:p>
        </w:tc>
        <w:tc>
          <w:tcPr>
            <w:tcW w:w="1361"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Resource</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1</w:t>
            </w:r>
          </w:p>
        </w:tc>
        <w:tc>
          <w:tcPr>
            <w:tcW w:w="22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Business Understanding &amp; Planning</w:t>
            </w:r>
          </w:p>
        </w:tc>
        <w:tc>
          <w:tcPr>
            <w:tcW w:w="11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Apr 7</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Apr 11</w:t>
            </w:r>
          </w:p>
        </w:tc>
        <w:tc>
          <w:tcPr>
            <w:tcW w:w="7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10</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Business Understanding</w:t>
            </w:r>
          </w:p>
        </w:tc>
        <w:tc>
          <w:tcPr>
            <w:tcW w:w="13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None</w:t>
            </w:r>
          </w:p>
        </w:tc>
        <w:tc>
          <w:tcPr>
            <w:tcW w:w="13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Project Lead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2</w:t>
            </w:r>
          </w:p>
        </w:tc>
        <w:tc>
          <w:tcPr>
            <w:tcW w:w="22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Data Acquisition &amp; EDA</w:t>
            </w:r>
          </w:p>
        </w:tc>
        <w:tc>
          <w:tcPr>
            <w:tcW w:w="11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Apr 14</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Apr 18</w:t>
            </w:r>
          </w:p>
        </w:tc>
        <w:tc>
          <w:tcPr>
            <w:tcW w:w="7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8</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Data Understanding</w:t>
            </w:r>
          </w:p>
        </w:tc>
        <w:tc>
          <w:tcPr>
            <w:tcW w:w="13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Milestone 1</w:t>
            </w:r>
          </w:p>
        </w:tc>
        <w:tc>
          <w:tcPr>
            <w:tcW w:w="13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Project Lead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3</w:t>
            </w:r>
          </w:p>
        </w:tc>
        <w:tc>
          <w:tcPr>
            <w:tcW w:w="22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Data Cleaning &amp; Preprocessing</w:t>
            </w:r>
          </w:p>
        </w:tc>
        <w:tc>
          <w:tcPr>
            <w:tcW w:w="11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Apr 21</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Apr 25</w:t>
            </w:r>
          </w:p>
        </w:tc>
        <w:tc>
          <w:tcPr>
            <w:tcW w:w="7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8</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Data Preparation</w:t>
            </w:r>
          </w:p>
        </w:tc>
        <w:tc>
          <w:tcPr>
            <w:tcW w:w="13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Milestone 2</w:t>
            </w:r>
          </w:p>
        </w:tc>
        <w:tc>
          <w:tcPr>
            <w:tcW w:w="13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Project Lead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4</w:t>
            </w:r>
          </w:p>
        </w:tc>
        <w:tc>
          <w:tcPr>
            <w:tcW w:w="22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Feature Engineering &amp; SMOTE</w:t>
            </w:r>
          </w:p>
        </w:tc>
        <w:tc>
          <w:tcPr>
            <w:tcW w:w="11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Apr 28</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May 1</w:t>
            </w:r>
          </w:p>
        </w:tc>
        <w:tc>
          <w:tcPr>
            <w:tcW w:w="7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6</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Data Preparation</w:t>
            </w:r>
          </w:p>
        </w:tc>
        <w:tc>
          <w:tcPr>
            <w:tcW w:w="13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Milestone 3</w:t>
            </w:r>
          </w:p>
        </w:tc>
        <w:tc>
          <w:tcPr>
            <w:tcW w:w="13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Project Lead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5</w:t>
            </w:r>
          </w:p>
        </w:tc>
        <w:tc>
          <w:tcPr>
            <w:tcW w:w="22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Model Training &amp; Tuning</w:t>
            </w:r>
          </w:p>
        </w:tc>
        <w:tc>
          <w:tcPr>
            <w:tcW w:w="11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May 4</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May 8</w:t>
            </w:r>
          </w:p>
        </w:tc>
        <w:tc>
          <w:tcPr>
            <w:tcW w:w="7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8</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Modeling</w:t>
            </w:r>
          </w:p>
        </w:tc>
        <w:tc>
          <w:tcPr>
            <w:tcW w:w="13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Milestone 4</w:t>
            </w:r>
          </w:p>
        </w:tc>
        <w:tc>
          <w:tcPr>
            <w:tcW w:w="13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Project Lead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6</w:t>
            </w:r>
          </w:p>
        </w:tc>
        <w:tc>
          <w:tcPr>
            <w:tcW w:w="22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Model Evaluation &amp; Comparison</w:t>
            </w:r>
          </w:p>
        </w:tc>
        <w:tc>
          <w:tcPr>
            <w:tcW w:w="11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May 11</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May 22</w:t>
            </w:r>
          </w:p>
        </w:tc>
        <w:tc>
          <w:tcPr>
            <w:tcW w:w="7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8</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Evaluation</w:t>
            </w:r>
          </w:p>
        </w:tc>
        <w:tc>
          <w:tcPr>
            <w:tcW w:w="13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Milestone 5</w:t>
            </w:r>
          </w:p>
        </w:tc>
        <w:tc>
          <w:tcPr>
            <w:tcW w:w="13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Project Lead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7</w:t>
            </w:r>
          </w:p>
        </w:tc>
        <w:tc>
          <w:tcPr>
            <w:tcW w:w="22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SHAP Analysis &amp; Interpretation</w:t>
            </w:r>
          </w:p>
        </w:tc>
        <w:tc>
          <w:tcPr>
            <w:tcW w:w="11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May 25</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May 29</w:t>
            </w:r>
          </w:p>
        </w:tc>
        <w:tc>
          <w:tcPr>
            <w:tcW w:w="7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5</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Evaluation</w:t>
            </w:r>
          </w:p>
        </w:tc>
        <w:tc>
          <w:tcPr>
            <w:tcW w:w="13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Milestone 6</w:t>
            </w:r>
          </w:p>
        </w:tc>
        <w:tc>
          <w:tcPr>
            <w:tcW w:w="13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Project Lead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8</w:t>
            </w:r>
          </w:p>
        </w:tc>
        <w:tc>
          <w:tcPr>
            <w:tcW w:w="22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Dashboard Development</w:t>
            </w:r>
          </w:p>
        </w:tc>
        <w:tc>
          <w:tcPr>
            <w:tcW w:w="11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Jun 1</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Jun 5</w:t>
            </w:r>
          </w:p>
        </w:tc>
        <w:tc>
          <w:tcPr>
            <w:tcW w:w="7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7</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Deployment</w:t>
            </w:r>
          </w:p>
        </w:tc>
        <w:tc>
          <w:tcPr>
            <w:tcW w:w="13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Milestone 7</w:t>
            </w:r>
          </w:p>
        </w:tc>
        <w:tc>
          <w:tcPr>
            <w:tcW w:w="13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Project Lead</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9</w:t>
            </w:r>
          </w:p>
        </w:tc>
        <w:tc>
          <w:tcPr>
            <w:tcW w:w="22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Documentation &amp; Final Report</w:t>
            </w:r>
          </w:p>
        </w:tc>
        <w:tc>
          <w:tcPr>
            <w:tcW w:w="11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Jun 8</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Jun 12</w:t>
            </w:r>
          </w:p>
        </w:tc>
        <w:tc>
          <w:tcPr>
            <w:tcW w:w="70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5</w:t>
            </w:r>
          </w:p>
        </w:tc>
        <w:tc>
          <w:tcPr>
            <w:tcW w:w="10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Deployment</w:t>
            </w:r>
          </w:p>
        </w:tc>
        <w:tc>
          <w:tcPr>
            <w:tcW w:w="1300"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Milestone 8</w:t>
            </w:r>
          </w:p>
        </w:tc>
        <w:tc>
          <w:tcPr>
            <w:tcW w:w="13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Project Lead</w:t>
            </w:r>
          </w:p>
        </w:tc>
      </w:tr>
    </w:tbl>
    <w:p>
      <w:pPr>
        <w:pStyle w:val="Normal"/>
        <w:spacing w:before="0" w:after="0"/>
        <w:rPr/>
      </w:pPr>
      <w:r>
        <w:rPr/>
      </w:r>
    </w:p>
    <w:p>
      <w:pPr>
        <w:pStyle w:val="Normal"/>
        <w:spacing w:before="0" w:after="120"/>
        <w:rPr/>
      </w:pPr>
      <w:r>
        <w:rPr>
          <w:rFonts w:eastAsia="Times New Roman" w:cs="Times New Roman"/>
          <w:sz w:val="24"/>
          <w:szCs w:val="24"/>
        </w:rPr>
        <w:t>Each milestone depends on the completion of the preceding milestone, as indicated in the Dependencies column. Milestones 3 and 4 both fall within the Data Preparation phase of CRISP-DM and can overlap slightly if data cleaning finishes ahead of schedule. Milestones 6 and 7 are both part of the Evaluation phase but are separated because SHAP analysis requires a finalized model from the evaluation step.</w:t>
      </w:r>
    </w:p>
    <w:p>
      <w:pPr>
        <w:pStyle w:val="Normal"/>
        <w:rPr/>
      </w:pPr>
      <w:r>
        <w:rPr/>
      </w:r>
      <w:r>
        <w:br w:type="page"/>
      </w:r>
    </w:p>
    <w:p>
      <w:pPr>
        <w:pStyle w:val="Heading1"/>
        <w:spacing w:before="0" w:after="200"/>
        <w:rPr/>
      </w:pPr>
      <w:r>
        <w:rPr>
          <w:rFonts w:eastAsia="Times New Roman" w:cs="Times New Roman" w:ascii="Times New Roman" w:hAnsi="Times New Roman"/>
          <w:b/>
          <w:bCs/>
          <w:sz w:val="32"/>
          <w:szCs w:val="32"/>
        </w:rPr>
        <w:t>References</w:t>
      </w:r>
    </w:p>
    <w:p>
      <w:pPr>
        <w:pStyle w:val="Normal"/>
        <w:spacing w:before="0" w:after="0"/>
        <w:rPr/>
      </w:pPr>
      <w:r>
        <w:rPr/>
      </w:r>
    </w:p>
    <w:p>
      <w:pPr>
        <w:pStyle w:val="Normal"/>
        <w:spacing w:before="0" w:after="120"/>
        <w:rPr/>
      </w:pPr>
      <w:r>
        <w:rPr>
          <w:rFonts w:eastAsia="Times New Roman" w:cs="Times New Roman"/>
          <w:i/>
          <w:iCs/>
          <w:sz w:val="24"/>
          <w:szCs w:val="24"/>
        </w:rPr>
        <w:t>Banswal, D., Chaudhari, P., Das, S., &amp; Ladge, M. K. (2024). Predictive analysis of customer spending patterns using machine learning algorithms. Journal of Engineering and Technology Management, 72</w:t>
      </w:r>
      <w:r>
        <w:rPr>
          <w:rFonts w:eastAsia="Times New Roman" w:cs="Times New Roman"/>
          <w:sz w:val="24"/>
          <w:szCs w:val="24"/>
        </w:rPr>
        <w:t>, 796-813.</w:t>
      </w:r>
    </w:p>
    <w:p>
      <w:pPr>
        <w:pStyle w:val="Normal"/>
        <w:spacing w:before="0" w:after="0"/>
        <w:rPr/>
      </w:pPr>
      <w:r>
        <w:rPr/>
      </w:r>
    </w:p>
    <w:p>
      <w:pPr>
        <w:pStyle w:val="Normal"/>
        <w:spacing w:before="0" w:after="120"/>
        <w:rPr/>
      </w:pPr>
      <w:r>
        <w:rPr>
          <w:rFonts w:eastAsia="Times New Roman" w:cs="Times New Roman"/>
          <w:i/>
          <w:iCs/>
          <w:sz w:val="24"/>
          <w:szCs w:val="24"/>
        </w:rPr>
        <w:t>Kim, S., Choi, D., Lee, E., &amp; Rhee, W. (2017). Churn prediction of mobile and online casual games using play log data. PLOS ONE, 12</w:t>
      </w:r>
      <w:r>
        <w:rPr>
          <w:rFonts w:eastAsia="Times New Roman" w:cs="Times New Roman"/>
          <w:sz w:val="24"/>
          <w:szCs w:val="24"/>
        </w:rPr>
        <w:t>(7), e0180735.</w:t>
      </w:r>
    </w:p>
    <w:p>
      <w:pPr>
        <w:pStyle w:val="Normal"/>
        <w:spacing w:before="0" w:after="0"/>
        <w:rPr/>
      </w:pPr>
      <w:r>
        <w:rPr/>
      </w:r>
    </w:p>
    <w:p>
      <w:pPr>
        <w:pStyle w:val="Normal"/>
        <w:spacing w:before="0" w:after="120"/>
        <w:rPr/>
      </w:pPr>
      <w:r>
        <w:rPr>
          <w:rFonts w:eastAsia="Times New Roman" w:cs="Times New Roman"/>
          <w:i/>
          <w:iCs/>
          <w:sz w:val="24"/>
          <w:szCs w:val="24"/>
        </w:rPr>
        <w:t>Lundberg, S. M., &amp; Lee, S.-I. (2017). A unified approach to interpreting model predictions. Advances in Neural Information Processing Systems, 30</w:t>
      </w:r>
      <w:r>
        <w:rPr>
          <w:rFonts w:eastAsia="Times New Roman" w:cs="Times New Roman"/>
          <w:sz w:val="24"/>
          <w:szCs w:val="24"/>
        </w:rPr>
        <w:t>, 4765-4774.</w:t>
      </w:r>
    </w:p>
    <w:p>
      <w:pPr>
        <w:pStyle w:val="Normal"/>
        <w:spacing w:before="0" w:after="0"/>
        <w:rPr/>
      </w:pPr>
      <w:r>
        <w:rPr/>
      </w:r>
    </w:p>
    <w:p>
      <w:pPr>
        <w:pStyle w:val="Normal"/>
        <w:spacing w:before="0" w:after="120"/>
        <w:rPr/>
      </w:pPr>
      <w:r>
        <w:rPr>
          <w:rFonts w:eastAsia="Times New Roman" w:cs="Times New Roman"/>
          <w:i/>
          <w:iCs/>
          <w:sz w:val="24"/>
          <w:szCs w:val="24"/>
        </w:rPr>
        <w:t xml:space="preserve">Puri, P. (2025). Mobile Game In-App Purchases Dataset 2025. </w:t>
      </w:r>
      <w:r>
        <w:rPr>
          <w:rFonts w:eastAsia="Times New Roman" w:cs="Times New Roman"/>
          <w:sz w:val="24"/>
          <w:szCs w:val="24"/>
        </w:rPr>
        <w:t>Kaggle. https://www.kaggle.com/datasets/pratyushpuri/mobile-game-in-app-purchases-dataset-2025</w:t>
      </w:r>
    </w:p>
    <w:p>
      <w:pPr>
        <w:pStyle w:val="Normal"/>
        <w:spacing w:before="0" w:after="0"/>
        <w:rPr/>
      </w:pPr>
      <w:r>
        <w:rPr/>
      </w:r>
    </w:p>
    <w:p>
      <w:pPr>
        <w:pStyle w:val="Normal"/>
        <w:spacing w:before="0" w:after="120"/>
        <w:rPr/>
      </w:pPr>
      <w:r>
        <w:rPr>
          <w:rFonts w:eastAsia="Times New Roman" w:cs="Times New Roman"/>
          <w:i/>
          <w:iCs/>
          <w:sz w:val="24"/>
          <w:szCs w:val="24"/>
        </w:rPr>
        <w:t>Semenov, A., Zelenko, D., &amp; Šarić, J. (2022). Predicting player churn of a free-to-play mobile video game using supervised machine learning. Applied Sciences, 12</w:t>
      </w:r>
      <w:r>
        <w:rPr>
          <w:rFonts w:eastAsia="Times New Roman" w:cs="Times New Roman"/>
          <w:sz w:val="24"/>
          <w:szCs w:val="24"/>
        </w:rPr>
        <w:t>(6), 2795.</w:t>
      </w:r>
    </w:p>
    <w:p>
      <w:pPr>
        <w:pStyle w:val="Normal"/>
        <w:spacing w:before="0" w:after="0"/>
        <w:rPr/>
      </w:pPr>
      <w:r>
        <w:rPr/>
      </w:r>
    </w:p>
    <w:p>
      <w:pPr>
        <w:pStyle w:val="Normal"/>
        <w:spacing w:before="0" w:after="120"/>
        <w:rPr/>
      </w:pPr>
      <w:r>
        <w:rPr>
          <w:rFonts w:eastAsia="Times New Roman" w:cs="Times New Roman"/>
          <w:i/>
          <w:iCs/>
          <w:sz w:val="24"/>
          <w:szCs w:val="24"/>
        </w:rPr>
        <w:t xml:space="preserve">Swrve. (2019). Swrve 2019 gaming monetization report. </w:t>
      </w:r>
      <w:r>
        <w:rPr>
          <w:rFonts w:eastAsia="Times New Roman" w:cs="Times New Roman"/>
          <w:sz w:val="24"/>
          <w:szCs w:val="24"/>
        </w:rPr>
        <w:t>https://cdn2.hubspot.net/hubfs/5516657/Monetization%20Report_final.pdf</w:t>
      </w:r>
    </w:p>
    <w:p>
      <w:pPr>
        <w:pStyle w:val="Normal"/>
        <w:spacing w:before="0" w:after="0"/>
        <w:rPr/>
      </w:pPr>
      <w:r>
        <w:rPr/>
      </w:r>
    </w:p>
    <w:p>
      <w:pPr>
        <w:pStyle w:val="Normal"/>
        <w:spacing w:before="0" w:after="120"/>
        <w:rPr/>
      </w:pPr>
      <w:r>
        <w:rPr>
          <w:rFonts w:eastAsia="Times New Roman" w:cs="Times New Roman"/>
          <w:i/>
          <w:iCs/>
          <w:sz w:val="24"/>
          <w:szCs w:val="24"/>
        </w:rPr>
        <w:t>Wirth, R., &amp; Hipp, J. (2000). CRISP-DM: Towards a standard process model for data mining. Proceedings of the 4th International Conference on the Practical Applications of Knowledge Discovery and Data Mining</w:t>
      </w:r>
      <w:r>
        <w:rPr>
          <w:rFonts w:eastAsia="Times New Roman" w:cs="Times New Roman"/>
          <w:sz w:val="24"/>
          <w:szCs w:val="24"/>
        </w:rPr>
        <w:t>, 29-39.</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Page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14</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Page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14</w:t>
    </w:r>
    <w:r>
      <w:rPr>
        <w:rFonts w:eastAsia="Times New Roman" w:cs="Times New Roman"/>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sz w:val="20"/>
        <w:szCs w:val="20"/>
      </w:rPr>
      <w:t>Buffington - Capstone Proposal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sz w:val="20"/>
        <w:szCs w:val="20"/>
      </w:rPr>
      <w:t>Buffington - Capstone Proposal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80" w:after="16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00" w:after="120"/>
      <w:outlineLvl w:val="2"/>
    </w:pPr>
    <w:rPr>
      <w:rFonts w:ascii="Times New Roman" w:hAnsi="Times New Roman" w:eastAsia="Times New Roman" w:cs="Times New Roman"/>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LibreOffice/26.2.2.2$Linux_X86_64 LibreOffice_project/620$Build-2</Application>
  <AppVersion>15.0000</AppVersion>
  <Pages>14</Pages>
  <Words>4124</Words>
  <Characters>24898</Characters>
  <CharactersWithSpaces>28848</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2026-04-01T14:45:58Z</dcterms:created>
  <dc:creator>Un-named</dc:creator>
  <dc:description/>
  <dc:language>en-US</dc:language>
  <cp:lastModifiedBy/>
  <dcterms:modified xsi:type="dcterms:W3CDTF">2026-04-22T23:16:18Z</dcterms:modified>
  <cp:revision>4</cp:revision>
  <dc:subject/>
  <dc:title/>
</cp:coreProperties>
</file>