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9B9" w:rsidRDefault="00DA19B9">
      <w:pPr>
        <w:rPr>
          <w:b/>
          <w:u w:val="single"/>
        </w:rPr>
      </w:pPr>
      <w:r>
        <w:rPr>
          <w:b/>
          <w:u w:val="single"/>
        </w:rPr>
        <w:t>Saucerman Lab g</w:t>
      </w:r>
      <w:r w:rsidR="007E0925" w:rsidRPr="00DA19B9">
        <w:rPr>
          <w:b/>
          <w:u w:val="single"/>
        </w:rPr>
        <w:t>uidelines for making scientific figures</w:t>
      </w:r>
    </w:p>
    <w:p w:rsidR="0098256E" w:rsidRDefault="0098256E">
      <w:pPr>
        <w:rPr>
          <w:b/>
        </w:rPr>
      </w:pPr>
      <w:r>
        <w:rPr>
          <w:b/>
        </w:rPr>
        <w:t>Last updated</w:t>
      </w:r>
      <w:r w:rsidR="00CA7884" w:rsidRPr="007B3563">
        <w:rPr>
          <w:b/>
        </w:rPr>
        <w:t>: 12/4/2014</w:t>
      </w:r>
      <w:r>
        <w:rPr>
          <w:b/>
        </w:rPr>
        <w:t xml:space="preserve"> by JS</w:t>
      </w:r>
    </w:p>
    <w:p w:rsidR="007E0925" w:rsidRDefault="00370328">
      <w:r>
        <w:t xml:space="preserve">Figure design is a central aspect of scientific communication, but most students learn to develop figures by a trial and error process that often does not lead to satisfactory results. In this document we’ll try to outline best practices and workflows, along with providing codes that ease figure generation. This is </w:t>
      </w:r>
      <w:r w:rsidR="00585C35">
        <w:t>expected to be a living document, updated and improved as needed by all lab members.</w:t>
      </w:r>
    </w:p>
    <w:p w:rsidR="007E0925" w:rsidRPr="00F83C45" w:rsidRDefault="00410F5F">
      <w:pPr>
        <w:rPr>
          <w:b/>
          <w:u w:val="single"/>
        </w:rPr>
      </w:pPr>
      <w:r>
        <w:rPr>
          <w:b/>
          <w:u w:val="single"/>
        </w:rPr>
        <w:t>Common</w:t>
      </w:r>
      <w:r w:rsidR="00585C35" w:rsidRPr="00F83C45">
        <w:rPr>
          <w:b/>
          <w:u w:val="single"/>
        </w:rPr>
        <w:t xml:space="preserve"> problems with scientific </w:t>
      </w:r>
      <w:r w:rsidR="007E0925" w:rsidRPr="00F83C45">
        <w:rPr>
          <w:b/>
          <w:u w:val="single"/>
        </w:rPr>
        <w:t>figures</w:t>
      </w:r>
      <w:r w:rsidR="00585C35" w:rsidRPr="00F83C45">
        <w:rPr>
          <w:b/>
          <w:u w:val="single"/>
        </w:rPr>
        <w:t>:</w:t>
      </w:r>
    </w:p>
    <w:p w:rsidR="007E0925" w:rsidRDefault="007E0925" w:rsidP="007E0925">
      <w:pPr>
        <w:pStyle w:val="ListParagraph"/>
        <w:numPr>
          <w:ilvl w:val="0"/>
          <w:numId w:val="1"/>
        </w:numPr>
      </w:pPr>
      <w:r>
        <w:t>Fonts are too small</w:t>
      </w:r>
    </w:p>
    <w:p w:rsidR="007E0925" w:rsidRDefault="00D1586A" w:rsidP="007E0925">
      <w:pPr>
        <w:pStyle w:val="ListParagraph"/>
        <w:numPr>
          <w:ilvl w:val="0"/>
          <w:numId w:val="1"/>
        </w:numPr>
      </w:pPr>
      <w:r>
        <w:t>Lines</w:t>
      </w:r>
      <w:r w:rsidR="007E0925">
        <w:t xml:space="preserve"> are difficult to discriminate</w:t>
      </w:r>
    </w:p>
    <w:p w:rsidR="007E0925" w:rsidRDefault="007E0925" w:rsidP="007E0925">
      <w:pPr>
        <w:pStyle w:val="ListParagraph"/>
        <w:numPr>
          <w:ilvl w:val="0"/>
          <w:numId w:val="1"/>
        </w:numPr>
      </w:pPr>
      <w:r>
        <w:t>Labels are unclear</w:t>
      </w:r>
      <w:r w:rsidR="00D1586A">
        <w:t xml:space="preserve"> and inconsistent</w:t>
      </w:r>
    </w:p>
    <w:p w:rsidR="007E0925" w:rsidRDefault="007E0925" w:rsidP="007E0925">
      <w:pPr>
        <w:pStyle w:val="ListParagraph"/>
        <w:numPr>
          <w:ilvl w:val="0"/>
          <w:numId w:val="1"/>
        </w:numPr>
      </w:pPr>
      <w:r>
        <w:t>Figure elements are not uniformly sized and aligned</w:t>
      </w:r>
    </w:p>
    <w:p w:rsidR="00585C35" w:rsidRDefault="00585C35" w:rsidP="007E0925">
      <w:pPr>
        <w:pStyle w:val="ListParagraph"/>
        <w:numPr>
          <w:ilvl w:val="0"/>
          <w:numId w:val="1"/>
        </w:numPr>
      </w:pPr>
      <w:r>
        <w:t>Colormaps used inappropriately</w:t>
      </w:r>
    </w:p>
    <w:p w:rsidR="00E244E6" w:rsidRDefault="00F81CA2">
      <w:pPr>
        <w:rPr>
          <w:b/>
          <w:u w:val="single"/>
        </w:rPr>
      </w:pPr>
      <w:r>
        <w:rPr>
          <w:b/>
          <w:u w:val="single"/>
        </w:rPr>
        <w:t>MATLAB plot g</w:t>
      </w:r>
      <w:r w:rsidR="00E244E6">
        <w:rPr>
          <w:b/>
          <w:u w:val="single"/>
        </w:rPr>
        <w:t>allery</w:t>
      </w:r>
    </w:p>
    <w:p w:rsidR="00B02AB3" w:rsidRDefault="00E244E6">
      <w:r w:rsidRPr="007D79FD">
        <w:rPr>
          <w:i/>
        </w:rPr>
        <w:t>figureFormatting.m:</w:t>
      </w:r>
      <w:r>
        <w:t xml:space="preserve"> </w:t>
      </w:r>
      <w:r w:rsidR="00B02AB3">
        <w:t>Applies various standards.</w:t>
      </w:r>
    </w:p>
    <w:p w:rsidR="00B02AB3" w:rsidRDefault="00B02AB3">
      <w:r>
        <w:t>F</w:t>
      </w:r>
      <w:r w:rsidR="00E244E6">
        <w:t>igure sizes</w:t>
      </w:r>
      <w:r>
        <w:t>. 3.5” for 1 column, 5” for 1.5 column and 7.2” for 2 column figs.</w:t>
      </w:r>
    </w:p>
    <w:p w:rsidR="00B02AB3" w:rsidRDefault="00B02AB3">
      <w:r>
        <w:t>Axis formatting. Tick Out, minor ticks on, box off.</w:t>
      </w:r>
    </w:p>
    <w:p w:rsidR="00B02AB3" w:rsidRDefault="00B02AB3">
      <w:r>
        <w:t>Fonts: 8 pt font, Helvetica.</w:t>
      </w:r>
    </w:p>
    <w:p w:rsidR="00B02AB3" w:rsidRDefault="00B02AB3">
      <w:r>
        <w:t>Lines: 0.5 pt for axes etc., 2 pt for data lines</w:t>
      </w:r>
    </w:p>
    <w:p w:rsidR="00B02AB3" w:rsidRDefault="00B02AB3">
      <w:r>
        <w:t>Note if we change default sizes we’ll need to readjust line wdiths/fonts.</w:t>
      </w:r>
    </w:p>
    <w:p w:rsidR="00E244E6" w:rsidRPr="007D79FD" w:rsidRDefault="00E244E6">
      <w:pPr>
        <w:rPr>
          <w:i/>
        </w:rPr>
      </w:pPr>
      <w:r w:rsidRPr="007D79FD">
        <w:rPr>
          <w:i/>
        </w:rPr>
        <w:t>barplot_gallery.m</w:t>
      </w:r>
    </w:p>
    <w:p w:rsidR="00B02AB3" w:rsidRDefault="00B02AB3">
      <w:r w:rsidRPr="00B02AB3">
        <w:rPr>
          <w:noProof/>
        </w:rPr>
        <w:drawing>
          <wp:inline distT="0" distB="0" distL="0" distR="0" wp14:anchorId="722D8BFA" wp14:editId="71B9552B">
            <wp:extent cx="1615440" cy="15325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898" cy="1540621"/>
                    </a:xfrm>
                    <a:prstGeom prst="rect">
                      <a:avLst/>
                    </a:prstGeom>
                  </pic:spPr>
                </pic:pic>
              </a:graphicData>
            </a:graphic>
          </wp:inline>
        </w:drawing>
      </w:r>
    </w:p>
    <w:p w:rsidR="00E244E6" w:rsidRPr="007D79FD" w:rsidRDefault="00E244E6">
      <w:pPr>
        <w:rPr>
          <w:i/>
        </w:rPr>
      </w:pPr>
      <w:r w:rsidRPr="007D79FD">
        <w:rPr>
          <w:i/>
        </w:rPr>
        <w:t>boxplot_gallery.m</w:t>
      </w:r>
    </w:p>
    <w:p w:rsidR="00B02AB3" w:rsidRDefault="00B02AB3">
      <w:r w:rsidRPr="00B02AB3">
        <w:rPr>
          <w:noProof/>
        </w:rPr>
        <w:lastRenderedPageBreak/>
        <w:drawing>
          <wp:inline distT="0" distB="0" distL="0" distR="0" wp14:anchorId="65A70BD2" wp14:editId="6BFF12B6">
            <wp:extent cx="2037080" cy="152781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527" cy="1528895"/>
                    </a:xfrm>
                    <a:prstGeom prst="rect">
                      <a:avLst/>
                    </a:prstGeom>
                  </pic:spPr>
                </pic:pic>
              </a:graphicData>
            </a:graphic>
          </wp:inline>
        </w:drawing>
      </w:r>
    </w:p>
    <w:p w:rsidR="00E244E6" w:rsidRPr="007D79FD" w:rsidRDefault="00E244E6">
      <w:r w:rsidRPr="007D79FD">
        <w:rPr>
          <w:i/>
        </w:rPr>
        <w:t>plotAnnotations_gallery.m</w:t>
      </w:r>
      <w:r w:rsidR="007D79FD">
        <w:rPr>
          <w:i/>
        </w:rPr>
        <w:t xml:space="preserve">: </w:t>
      </w:r>
      <w:r w:rsidR="007D79FD">
        <w:t>error bars, arrows, plot shading, annotation bars</w:t>
      </w:r>
    </w:p>
    <w:p w:rsidR="00B02AB3" w:rsidRDefault="00B02AB3">
      <w:r w:rsidRPr="00B02AB3">
        <w:rPr>
          <w:noProof/>
        </w:rPr>
        <w:drawing>
          <wp:inline distT="0" distB="0" distL="0" distR="0" wp14:anchorId="7B3D38F3" wp14:editId="490D38F2">
            <wp:extent cx="2270760" cy="8617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0776"/>
                    <a:stretch/>
                  </pic:blipFill>
                  <pic:spPr bwMode="auto">
                    <a:xfrm>
                      <a:off x="0" y="0"/>
                      <a:ext cx="2288371" cy="868407"/>
                    </a:xfrm>
                    <a:prstGeom prst="rect">
                      <a:avLst/>
                    </a:prstGeom>
                    <a:ln>
                      <a:noFill/>
                    </a:ln>
                    <a:extLst>
                      <a:ext uri="{53640926-AAD7-44D8-BBD7-CCE9431645EC}">
                        <a14:shadowObscured xmlns:a14="http://schemas.microsoft.com/office/drawing/2010/main"/>
                      </a:ext>
                    </a:extLst>
                  </pic:spPr>
                </pic:pic>
              </a:graphicData>
            </a:graphic>
          </wp:inline>
        </w:drawing>
      </w:r>
    </w:p>
    <w:p w:rsidR="00E244E6" w:rsidRPr="007D79FD" w:rsidRDefault="00E244E6">
      <w:r w:rsidRPr="007D79FD">
        <w:rPr>
          <w:i/>
        </w:rPr>
        <w:t>scatterplot_gallery.m</w:t>
      </w:r>
      <w:r w:rsidR="007D79FD">
        <w:t>: symbol types, line colors and widths</w:t>
      </w:r>
    </w:p>
    <w:p w:rsidR="00B02AB3" w:rsidRDefault="00B02AB3">
      <w:r w:rsidRPr="00B02AB3">
        <w:rPr>
          <w:noProof/>
        </w:rPr>
        <w:drawing>
          <wp:inline distT="0" distB="0" distL="0" distR="0" wp14:anchorId="267F8680" wp14:editId="0CB6AA6D">
            <wp:extent cx="1786890" cy="13401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840" cy="1343131"/>
                    </a:xfrm>
                    <a:prstGeom prst="rect">
                      <a:avLst/>
                    </a:prstGeom>
                  </pic:spPr>
                </pic:pic>
              </a:graphicData>
            </a:graphic>
          </wp:inline>
        </w:drawing>
      </w:r>
    </w:p>
    <w:p w:rsidR="00410F5F" w:rsidRDefault="00410F5F" w:rsidP="00410F5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MATLAB’s plot gallery: </w:t>
      </w:r>
      <w:r w:rsidRPr="00B2122A">
        <w:rPr>
          <w:rFonts w:ascii="Calibri" w:hAnsi="Calibri"/>
          <w:color w:val="000000"/>
          <w:sz w:val="22"/>
          <w:szCs w:val="22"/>
        </w:rPr>
        <w:t>http://www.mathworks.com/discovery/gallery.html</w:t>
      </w:r>
    </w:p>
    <w:p w:rsidR="00410F5F" w:rsidRDefault="00410F5F"/>
    <w:p w:rsidR="00B02AB3" w:rsidRDefault="00B02AB3">
      <w:r>
        <w:t>MATLAB Figure tips:</w:t>
      </w:r>
    </w:p>
    <w:p w:rsidR="00322B2D" w:rsidRDefault="00322B2D">
      <w:r>
        <w:t>Note: the figure gallery uses the new object oriented graphics commands from MATLAB 2014b. Would require modifications to use the ‘set’ command more often for earlier versions.</w:t>
      </w:r>
      <w:r w:rsidR="00B2122A">
        <w:t xml:space="preserve"> Overview of MATLAB graphics changes here: </w:t>
      </w:r>
      <w:r w:rsidR="00B2122A" w:rsidRPr="00B2122A">
        <w:t>http://www.mathworks.com/products/matlab/matlab-graphics/</w:t>
      </w:r>
    </w:p>
    <w:p w:rsidR="00322B2D" w:rsidRDefault="00B02AB3">
      <w:r>
        <w:t>Figure panel assembly: Use Tools&gt;Snap to Layout Grid to position panels and size figures.</w:t>
      </w:r>
    </w:p>
    <w:p w:rsidR="00E244E6" w:rsidRDefault="00E971A2">
      <w:r>
        <w:t>To do:</w:t>
      </w:r>
      <w:r w:rsidR="00322B2D">
        <w:t xml:space="preserve"> heatmaps</w:t>
      </w:r>
      <w:r w:rsidR="00043367">
        <w:t>- single and 2 directional</w:t>
      </w:r>
      <w:r w:rsidR="00735891">
        <w:t>. Legends. Text labels on lines in annotations</w:t>
      </w:r>
      <w:bookmarkStart w:id="0" w:name="_GoBack"/>
      <w:bookmarkEnd w:id="0"/>
    </w:p>
    <w:p w:rsidR="00E971A2" w:rsidRDefault="00E971A2">
      <w:r>
        <w:t>Suggestions:</w:t>
      </w:r>
    </w:p>
    <w:p w:rsidR="00E971A2" w:rsidRPr="00E244E6" w:rsidRDefault="00E971A2"/>
    <w:p w:rsidR="00565D1D" w:rsidRDefault="007E0925">
      <w:pPr>
        <w:rPr>
          <w:b/>
          <w:u w:val="single"/>
        </w:rPr>
      </w:pPr>
      <w:r w:rsidRPr="00F83C45">
        <w:rPr>
          <w:b/>
          <w:u w:val="single"/>
        </w:rPr>
        <w:t>Workflow for generating figures:</w:t>
      </w:r>
    </w:p>
    <w:p w:rsidR="007B3563" w:rsidRDefault="007B3563">
      <w:r>
        <w:t>I primarily recommend MATLAB for initial figure generation, which allows scripting, autogeneration of figures and retains the original data. I recommend Inkscape for subsequent figure formatting and assembly.</w:t>
      </w:r>
    </w:p>
    <w:p w:rsidR="00585C35" w:rsidRDefault="00585C35">
      <w:r>
        <w:lastRenderedPageBreak/>
        <w:t>MATLAB to Inkscape: Save as PDF, import PDF with fonts. Save in Inkscape as PDF or PNG.</w:t>
      </w:r>
    </w:p>
    <w:p w:rsidR="00C4357E" w:rsidRPr="00565D1D" w:rsidRDefault="00C4357E">
      <w:pPr>
        <w:rPr>
          <w:b/>
          <w:u w:val="single"/>
        </w:rPr>
      </w:pPr>
      <w:r>
        <w:t>Save your MATLAB FIG files, as the raw data it contains can be extracted for later analysis.</w:t>
      </w:r>
    </w:p>
    <w:p w:rsidR="00585C35" w:rsidRDefault="00585C35">
      <w:r>
        <w:t>MATLAB to Powerpo</w:t>
      </w:r>
      <w:r w:rsidR="00E244E6">
        <w:t>i</w:t>
      </w:r>
      <w:r>
        <w:t>nt: Save as EMF or use Copy Figure with Edit&gt;Copy Options&gt;Metafile selected. This allows you to edit and manipulate the figure within Powerpoint for animations etc.</w:t>
      </w:r>
    </w:p>
    <w:p w:rsidR="00F83C45" w:rsidRDefault="00F83C45">
      <w:r>
        <w:t>Images manipulated in ImageJ, saved as TIFF.</w:t>
      </w:r>
    </w:p>
    <w:p w:rsidR="002F407E" w:rsidRDefault="00D1586A">
      <w:r>
        <w:t>Network diagrams created in Cytoscape in a manner consistent with Activity Flow SBGN. See the sbgn props file in Netflux</w:t>
      </w:r>
      <w:r w:rsidR="007D2267">
        <w:t>. Save as SVG for import into Inkscape.</w:t>
      </w:r>
    </w:p>
    <w:p w:rsidR="00D1586A" w:rsidRDefault="00D1586A"/>
    <w:p w:rsidR="004E7D39" w:rsidRPr="002F407E" w:rsidRDefault="002F407E">
      <w:pPr>
        <w:rPr>
          <w:b/>
          <w:u w:val="single"/>
        </w:rPr>
      </w:pPr>
      <w:r w:rsidRPr="002F407E">
        <w:rPr>
          <w:b/>
          <w:u w:val="single"/>
        </w:rPr>
        <w:t>Inkscape Tips</w:t>
      </w:r>
    </w:p>
    <w:p w:rsidR="002F407E" w:rsidRDefault="002F407E">
      <w:r>
        <w:t>Import: PDF works very well</w:t>
      </w:r>
    </w:p>
    <w:p w:rsidR="002F407E" w:rsidRDefault="002F407E">
      <w:r>
        <w:t>Export: PDF or SVG preferred for vector, PNG for bitmap. Can convert PNG to TIFF in ImageJ if needed.</w:t>
      </w:r>
    </w:p>
    <w:p w:rsidR="002F407E" w:rsidRDefault="002F407E">
      <w:pPr>
        <w:rPr>
          <w:b/>
          <w:u w:val="single"/>
        </w:rPr>
      </w:pPr>
    </w:p>
    <w:p w:rsidR="007E0925" w:rsidRPr="007E0925" w:rsidRDefault="00585C35">
      <w:pPr>
        <w:rPr>
          <w:b/>
          <w:u w:val="single"/>
        </w:rPr>
      </w:pPr>
      <w:r>
        <w:rPr>
          <w:b/>
          <w:u w:val="single"/>
        </w:rPr>
        <w:t xml:space="preserve">Web </w:t>
      </w:r>
      <w:r w:rsidR="007E0925" w:rsidRPr="007E0925">
        <w:rPr>
          <w:b/>
          <w:u w:val="single"/>
        </w:rPr>
        <w:t>Resources:</w:t>
      </w:r>
    </w:p>
    <w:p w:rsidR="007E0925" w:rsidRDefault="007E0925">
      <w:r>
        <w:t>Points of View series from Nature Methods. Excellent</w:t>
      </w:r>
      <w:r w:rsidR="00322B2D">
        <w:t xml:space="preserve"> and essential reading</w:t>
      </w:r>
      <w:r>
        <w:t>!!</w:t>
      </w:r>
      <w:r w:rsidR="00F81CA2">
        <w:t xml:space="preserve"> Provide many examples and considerations from a scientifically trained graphic artist, used in creating plot gallery guidelines.</w:t>
      </w:r>
    </w:p>
    <w:p w:rsidR="007E0925" w:rsidRDefault="007E0925">
      <w:r w:rsidRPr="007E0925">
        <w:t>http://blogs.nature.com/methagora/2013/07/data-visualization-points-of-view.html?WT.mc_id=TWT_NatureMethods</w:t>
      </w:r>
    </w:p>
    <w:p w:rsidR="007E0925" w:rsidRDefault="007E0925" w:rsidP="007E092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Nice short article on overview of graphic design principles for figures</w:t>
      </w:r>
    </w:p>
    <w:p w:rsidR="007E0925" w:rsidRDefault="00735891" w:rsidP="007E0925">
      <w:pPr>
        <w:pStyle w:val="NormalWeb"/>
        <w:spacing w:before="0" w:beforeAutospacing="0" w:after="0" w:afterAutospacing="0"/>
        <w:rPr>
          <w:rFonts w:ascii="Calibri" w:hAnsi="Calibri"/>
          <w:color w:val="000000"/>
          <w:sz w:val="22"/>
          <w:szCs w:val="22"/>
        </w:rPr>
      </w:pPr>
      <w:hyperlink r:id="rId9" w:history="1">
        <w:r w:rsidR="007E0925">
          <w:rPr>
            <w:rStyle w:val="Hyperlink"/>
            <w:rFonts w:ascii="Calibri" w:hAnsi="Calibri"/>
            <w:sz w:val="22"/>
            <w:szCs w:val="22"/>
          </w:rPr>
          <w:t>http://onlinelibrary.wiley.com/doi/10.1002/adma.201102518/full</w:t>
        </w:r>
      </w:hyperlink>
    </w:p>
    <w:p w:rsidR="007E0925" w:rsidRDefault="007E0925" w:rsidP="007E0925">
      <w:pPr>
        <w:pStyle w:val="NormalWeb"/>
        <w:spacing w:before="0" w:beforeAutospacing="0" w:after="0" w:afterAutospacing="0"/>
        <w:rPr>
          <w:rFonts w:ascii="Calibri" w:hAnsi="Calibri"/>
          <w:color w:val="000000"/>
          <w:sz w:val="22"/>
          <w:szCs w:val="22"/>
        </w:rPr>
      </w:pPr>
    </w:p>
    <w:p w:rsidR="007E0925" w:rsidRDefault="007E0925" w:rsidP="007E092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Very nice workflow involving R, inkscape, and imagej, much like mine! Lots of good details about figures</w:t>
      </w:r>
    </w:p>
    <w:p w:rsidR="007E0925" w:rsidRDefault="00735891" w:rsidP="007E0925">
      <w:pPr>
        <w:pStyle w:val="NormalWeb"/>
        <w:spacing w:before="0" w:beforeAutospacing="0" w:after="0" w:afterAutospacing="0"/>
        <w:rPr>
          <w:rFonts w:ascii="Calibri" w:hAnsi="Calibri"/>
          <w:color w:val="000000"/>
          <w:sz w:val="22"/>
          <w:szCs w:val="22"/>
        </w:rPr>
      </w:pPr>
      <w:hyperlink r:id="rId10" w:history="1">
        <w:r w:rsidR="007E0925">
          <w:rPr>
            <w:rStyle w:val="Hyperlink"/>
            <w:rFonts w:ascii="Calibri" w:hAnsi="Calibri"/>
            <w:sz w:val="22"/>
            <w:szCs w:val="22"/>
          </w:rPr>
          <w:t>http://cellbio.emory.edu/bnanes/figures/</w:t>
        </w:r>
      </w:hyperlink>
    </w:p>
    <w:p w:rsidR="00B2122A" w:rsidRDefault="00B2122A" w:rsidP="007E0925">
      <w:pPr>
        <w:pStyle w:val="NormalWeb"/>
        <w:spacing w:before="0" w:beforeAutospacing="0" w:after="0" w:afterAutospacing="0"/>
        <w:rPr>
          <w:rFonts w:ascii="Calibri" w:hAnsi="Calibri"/>
          <w:color w:val="000000"/>
          <w:sz w:val="22"/>
          <w:szCs w:val="22"/>
        </w:rPr>
      </w:pPr>
    </w:p>
    <w:p w:rsidR="007E0925" w:rsidRDefault="007E0925" w:rsidP="007E0925"/>
    <w:p w:rsidR="007E0925" w:rsidRPr="007E0925" w:rsidRDefault="007E0925" w:rsidP="007E0925">
      <w:pPr>
        <w:rPr>
          <w:b/>
          <w:u w:val="single"/>
        </w:rPr>
      </w:pPr>
      <w:r w:rsidRPr="007E0925">
        <w:rPr>
          <w:b/>
          <w:u w:val="single"/>
        </w:rPr>
        <w:t>Journal formatting guidelines:</w:t>
      </w:r>
    </w:p>
    <w:p w:rsidR="007E0925" w:rsidRDefault="007E0925" w:rsidP="007E092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JBC: </w:t>
      </w:r>
      <w:hyperlink r:id="rId11" w:history="1">
        <w:r>
          <w:rPr>
            <w:rStyle w:val="Hyperlink"/>
            <w:rFonts w:ascii="Calibri" w:hAnsi="Calibri"/>
            <w:sz w:val="22"/>
            <w:szCs w:val="22"/>
          </w:rPr>
          <w:t>http://www.jbc.org/site/misc/ifora.xhtml</w:t>
        </w:r>
      </w:hyperlink>
    </w:p>
    <w:p w:rsidR="007E0925" w:rsidRDefault="007E0925" w:rsidP="007E092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JMCC: </w:t>
      </w:r>
      <w:hyperlink r:id="rId12" w:anchor="60002" w:history="1">
        <w:r>
          <w:rPr>
            <w:rStyle w:val="Hyperlink"/>
            <w:rFonts w:ascii="Calibri" w:hAnsi="Calibri"/>
            <w:sz w:val="22"/>
            <w:szCs w:val="22"/>
          </w:rPr>
          <w:t>http://www.elsevier.com/journals/journal-of-molecular-and-cellular-cardiology/0022-2828/guide-for-authors#60002</w:t>
        </w:r>
      </w:hyperlink>
    </w:p>
    <w:p w:rsidR="007E0925" w:rsidRDefault="007E0925" w:rsidP="007E092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Circ Research: </w:t>
      </w:r>
      <w:hyperlink r:id="rId13" w:history="1">
        <w:r>
          <w:rPr>
            <w:rStyle w:val="Hyperlink"/>
            <w:rFonts w:ascii="Calibri" w:hAnsi="Calibri"/>
            <w:sz w:val="22"/>
            <w:szCs w:val="22"/>
          </w:rPr>
          <w:t>http://circres.ahajournals.org/site/misc/aha_fig_tab_guidelines.pdf</w:t>
        </w:r>
      </w:hyperlink>
      <w:r>
        <w:rPr>
          <w:rFonts w:ascii="Calibri" w:hAnsi="Calibri"/>
          <w:color w:val="000000"/>
          <w:sz w:val="22"/>
          <w:szCs w:val="22"/>
        </w:rPr>
        <w:t xml:space="preserve">, </w:t>
      </w:r>
      <w:hyperlink r:id="rId14" w:history="1">
        <w:r>
          <w:rPr>
            <w:rStyle w:val="Hyperlink"/>
            <w:rFonts w:ascii="Calibri" w:hAnsi="Calibri"/>
            <w:sz w:val="22"/>
            <w:szCs w:val="22"/>
          </w:rPr>
          <w:t>http://circres.ahajournals.org/site/misc/ArtGuidelinesCircRes.pdf</w:t>
        </w:r>
      </w:hyperlink>
    </w:p>
    <w:p w:rsidR="007E0925" w:rsidRDefault="007E0925" w:rsidP="007E092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Nature: </w:t>
      </w:r>
      <w:hyperlink r:id="rId15" w:anchor="a5.9" w:history="1">
        <w:r>
          <w:rPr>
            <w:rStyle w:val="Hyperlink"/>
            <w:rFonts w:ascii="Calibri" w:hAnsi="Calibri"/>
            <w:sz w:val="22"/>
            <w:szCs w:val="22"/>
          </w:rPr>
          <w:t>http://www.nature.com/nature/authors/gta/#a5.9</w:t>
        </w:r>
      </w:hyperlink>
    </w:p>
    <w:p w:rsidR="007E0925" w:rsidRDefault="007E0925" w:rsidP="007E0925"/>
    <w:sectPr w:rsidR="007E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32B9A"/>
    <w:multiLevelType w:val="hybridMultilevel"/>
    <w:tmpl w:val="575A7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417"/>
    <w:rsid w:val="000101AD"/>
    <w:rsid w:val="00022648"/>
    <w:rsid w:val="00031439"/>
    <w:rsid w:val="000320DF"/>
    <w:rsid w:val="00040BD6"/>
    <w:rsid w:val="00043367"/>
    <w:rsid w:val="00055EEE"/>
    <w:rsid w:val="00063D7C"/>
    <w:rsid w:val="0006569D"/>
    <w:rsid w:val="00073994"/>
    <w:rsid w:val="00080EE1"/>
    <w:rsid w:val="001005BA"/>
    <w:rsid w:val="00106CAA"/>
    <w:rsid w:val="00140CCC"/>
    <w:rsid w:val="00147BA9"/>
    <w:rsid w:val="001501A8"/>
    <w:rsid w:val="00154A02"/>
    <w:rsid w:val="00154B9B"/>
    <w:rsid w:val="001A19F5"/>
    <w:rsid w:val="001A7D22"/>
    <w:rsid w:val="001C1D56"/>
    <w:rsid w:val="001F7A92"/>
    <w:rsid w:val="00203417"/>
    <w:rsid w:val="0020501F"/>
    <w:rsid w:val="00233A33"/>
    <w:rsid w:val="0023439A"/>
    <w:rsid w:val="00234E25"/>
    <w:rsid w:val="00235761"/>
    <w:rsid w:val="00244A92"/>
    <w:rsid w:val="00265E6D"/>
    <w:rsid w:val="00274FB3"/>
    <w:rsid w:val="0028721E"/>
    <w:rsid w:val="002958DD"/>
    <w:rsid w:val="002C4FBF"/>
    <w:rsid w:val="002D46B3"/>
    <w:rsid w:val="002E5C78"/>
    <w:rsid w:val="002F407E"/>
    <w:rsid w:val="002F59B6"/>
    <w:rsid w:val="00307CD0"/>
    <w:rsid w:val="003104C9"/>
    <w:rsid w:val="00322B2D"/>
    <w:rsid w:val="00344C80"/>
    <w:rsid w:val="003644AA"/>
    <w:rsid w:val="00364F5E"/>
    <w:rsid w:val="00370328"/>
    <w:rsid w:val="00371CCE"/>
    <w:rsid w:val="00381BD2"/>
    <w:rsid w:val="00385AE0"/>
    <w:rsid w:val="00390FED"/>
    <w:rsid w:val="00395526"/>
    <w:rsid w:val="003E0FBF"/>
    <w:rsid w:val="003E4359"/>
    <w:rsid w:val="003E4CBF"/>
    <w:rsid w:val="003F4C10"/>
    <w:rsid w:val="00410F5F"/>
    <w:rsid w:val="0041244C"/>
    <w:rsid w:val="00422666"/>
    <w:rsid w:val="00431837"/>
    <w:rsid w:val="00437686"/>
    <w:rsid w:val="0046132F"/>
    <w:rsid w:val="00474457"/>
    <w:rsid w:val="00491CA6"/>
    <w:rsid w:val="00493483"/>
    <w:rsid w:val="004A75B1"/>
    <w:rsid w:val="004E7D39"/>
    <w:rsid w:val="00511A38"/>
    <w:rsid w:val="00541A55"/>
    <w:rsid w:val="005555F4"/>
    <w:rsid w:val="00565526"/>
    <w:rsid w:val="00565D1D"/>
    <w:rsid w:val="00585C35"/>
    <w:rsid w:val="005C15C6"/>
    <w:rsid w:val="005C2C13"/>
    <w:rsid w:val="005D2AEB"/>
    <w:rsid w:val="005E09A1"/>
    <w:rsid w:val="00605A42"/>
    <w:rsid w:val="00605E5C"/>
    <w:rsid w:val="00610AF7"/>
    <w:rsid w:val="0062287F"/>
    <w:rsid w:val="00622A8A"/>
    <w:rsid w:val="00632191"/>
    <w:rsid w:val="00632C19"/>
    <w:rsid w:val="00644F7E"/>
    <w:rsid w:val="0064623E"/>
    <w:rsid w:val="0065103D"/>
    <w:rsid w:val="0067619C"/>
    <w:rsid w:val="00682CBC"/>
    <w:rsid w:val="0069674C"/>
    <w:rsid w:val="006D6671"/>
    <w:rsid w:val="00711B1B"/>
    <w:rsid w:val="007159D6"/>
    <w:rsid w:val="007229A1"/>
    <w:rsid w:val="007264A6"/>
    <w:rsid w:val="00735891"/>
    <w:rsid w:val="00737C7F"/>
    <w:rsid w:val="007445C9"/>
    <w:rsid w:val="00760403"/>
    <w:rsid w:val="00780CB4"/>
    <w:rsid w:val="007B3563"/>
    <w:rsid w:val="007D2267"/>
    <w:rsid w:val="007D79FD"/>
    <w:rsid w:val="007E0925"/>
    <w:rsid w:val="007E3310"/>
    <w:rsid w:val="00804565"/>
    <w:rsid w:val="008165CF"/>
    <w:rsid w:val="00842C81"/>
    <w:rsid w:val="00860CB5"/>
    <w:rsid w:val="00884674"/>
    <w:rsid w:val="0088583E"/>
    <w:rsid w:val="00891294"/>
    <w:rsid w:val="008A1B15"/>
    <w:rsid w:val="008D1F72"/>
    <w:rsid w:val="008E14E8"/>
    <w:rsid w:val="00905E4D"/>
    <w:rsid w:val="00907142"/>
    <w:rsid w:val="00957ED8"/>
    <w:rsid w:val="0098256E"/>
    <w:rsid w:val="00982BD8"/>
    <w:rsid w:val="00987392"/>
    <w:rsid w:val="009B15C2"/>
    <w:rsid w:val="009D11B3"/>
    <w:rsid w:val="009E16CF"/>
    <w:rsid w:val="00A24385"/>
    <w:rsid w:val="00A45261"/>
    <w:rsid w:val="00A90024"/>
    <w:rsid w:val="00A93B6B"/>
    <w:rsid w:val="00A9774D"/>
    <w:rsid w:val="00AD2A5D"/>
    <w:rsid w:val="00AF42CE"/>
    <w:rsid w:val="00B00453"/>
    <w:rsid w:val="00B02AB3"/>
    <w:rsid w:val="00B15F3A"/>
    <w:rsid w:val="00B2122A"/>
    <w:rsid w:val="00B27305"/>
    <w:rsid w:val="00B325D5"/>
    <w:rsid w:val="00B33AAA"/>
    <w:rsid w:val="00B7666C"/>
    <w:rsid w:val="00B7795F"/>
    <w:rsid w:val="00B809D7"/>
    <w:rsid w:val="00B922C0"/>
    <w:rsid w:val="00BD2864"/>
    <w:rsid w:val="00C03580"/>
    <w:rsid w:val="00C047CD"/>
    <w:rsid w:val="00C058E9"/>
    <w:rsid w:val="00C22273"/>
    <w:rsid w:val="00C42641"/>
    <w:rsid w:val="00C4357E"/>
    <w:rsid w:val="00C60A00"/>
    <w:rsid w:val="00C63102"/>
    <w:rsid w:val="00C778A5"/>
    <w:rsid w:val="00C82C4B"/>
    <w:rsid w:val="00C93A4A"/>
    <w:rsid w:val="00C95E01"/>
    <w:rsid w:val="00CA7884"/>
    <w:rsid w:val="00CB220D"/>
    <w:rsid w:val="00CC0DCB"/>
    <w:rsid w:val="00CC3372"/>
    <w:rsid w:val="00CD074A"/>
    <w:rsid w:val="00CD796D"/>
    <w:rsid w:val="00CF4237"/>
    <w:rsid w:val="00D1586A"/>
    <w:rsid w:val="00D20289"/>
    <w:rsid w:val="00D2406D"/>
    <w:rsid w:val="00D249CE"/>
    <w:rsid w:val="00D301C5"/>
    <w:rsid w:val="00D832B9"/>
    <w:rsid w:val="00D96ACF"/>
    <w:rsid w:val="00DA19B9"/>
    <w:rsid w:val="00DB0473"/>
    <w:rsid w:val="00DB2D92"/>
    <w:rsid w:val="00DC331F"/>
    <w:rsid w:val="00DE215A"/>
    <w:rsid w:val="00DE729E"/>
    <w:rsid w:val="00E10A1E"/>
    <w:rsid w:val="00E14C85"/>
    <w:rsid w:val="00E24470"/>
    <w:rsid w:val="00E244E6"/>
    <w:rsid w:val="00E6594F"/>
    <w:rsid w:val="00E71BCD"/>
    <w:rsid w:val="00E72B29"/>
    <w:rsid w:val="00E80DC8"/>
    <w:rsid w:val="00E971A2"/>
    <w:rsid w:val="00E97CC1"/>
    <w:rsid w:val="00EB093D"/>
    <w:rsid w:val="00EC2B81"/>
    <w:rsid w:val="00EE11C1"/>
    <w:rsid w:val="00EE7BAC"/>
    <w:rsid w:val="00F1013B"/>
    <w:rsid w:val="00F12FD6"/>
    <w:rsid w:val="00F26B28"/>
    <w:rsid w:val="00F33CCA"/>
    <w:rsid w:val="00F3603A"/>
    <w:rsid w:val="00F54586"/>
    <w:rsid w:val="00F60C7B"/>
    <w:rsid w:val="00F74983"/>
    <w:rsid w:val="00F75593"/>
    <w:rsid w:val="00F81CA2"/>
    <w:rsid w:val="00F83C45"/>
    <w:rsid w:val="00F841A4"/>
    <w:rsid w:val="00F84770"/>
    <w:rsid w:val="00FA3C05"/>
    <w:rsid w:val="00FA5662"/>
    <w:rsid w:val="00FA65D3"/>
    <w:rsid w:val="00FC1993"/>
    <w:rsid w:val="00FC19C1"/>
    <w:rsid w:val="00FC2F4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4454C-A162-41FE-AEBC-86372B0D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9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0925"/>
    <w:rPr>
      <w:color w:val="0000FF"/>
      <w:u w:val="single"/>
    </w:rPr>
  </w:style>
  <w:style w:type="paragraph" w:styleId="ListParagraph">
    <w:name w:val="List Paragraph"/>
    <w:basedOn w:val="Normal"/>
    <w:uiPriority w:val="34"/>
    <w:qFormat/>
    <w:rsid w:val="007E0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3299">
      <w:bodyDiv w:val="1"/>
      <w:marLeft w:val="0"/>
      <w:marRight w:val="0"/>
      <w:marTop w:val="0"/>
      <w:marBottom w:val="0"/>
      <w:divBdr>
        <w:top w:val="none" w:sz="0" w:space="0" w:color="auto"/>
        <w:left w:val="none" w:sz="0" w:space="0" w:color="auto"/>
        <w:bottom w:val="none" w:sz="0" w:space="0" w:color="auto"/>
        <w:right w:val="none" w:sz="0" w:space="0" w:color="auto"/>
      </w:divBdr>
    </w:div>
    <w:div w:id="49037902">
      <w:bodyDiv w:val="1"/>
      <w:marLeft w:val="0"/>
      <w:marRight w:val="0"/>
      <w:marTop w:val="0"/>
      <w:marBottom w:val="0"/>
      <w:divBdr>
        <w:top w:val="none" w:sz="0" w:space="0" w:color="auto"/>
        <w:left w:val="none" w:sz="0" w:space="0" w:color="auto"/>
        <w:bottom w:val="none" w:sz="0" w:space="0" w:color="auto"/>
        <w:right w:val="none" w:sz="0" w:space="0" w:color="auto"/>
      </w:divBdr>
    </w:div>
    <w:div w:id="224032494">
      <w:bodyDiv w:val="1"/>
      <w:marLeft w:val="0"/>
      <w:marRight w:val="0"/>
      <w:marTop w:val="0"/>
      <w:marBottom w:val="0"/>
      <w:divBdr>
        <w:top w:val="none" w:sz="0" w:space="0" w:color="auto"/>
        <w:left w:val="none" w:sz="0" w:space="0" w:color="auto"/>
        <w:bottom w:val="none" w:sz="0" w:space="0" w:color="auto"/>
        <w:right w:val="none" w:sz="0" w:space="0" w:color="auto"/>
      </w:divBdr>
    </w:div>
    <w:div w:id="57339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ircres.ahajournals.org/site/misc/aha_fig_tab_guidelines.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lsevier.com/journals/journal-of-molecular-and-cellular-cardiology/0022-2828/guide-for-auth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bc.org/site/misc/ifora.xhtml" TargetMode="External"/><Relationship Id="rId5" Type="http://schemas.openxmlformats.org/officeDocument/2006/relationships/image" Target="media/image1.png"/><Relationship Id="rId15" Type="http://schemas.openxmlformats.org/officeDocument/2006/relationships/hyperlink" Target="http://www.nature.com/nature/authors/gta/" TargetMode="External"/><Relationship Id="rId10" Type="http://schemas.openxmlformats.org/officeDocument/2006/relationships/hyperlink" Target="http://cellbio.emory.edu/bnanes/figures/" TargetMode="External"/><Relationship Id="rId4" Type="http://schemas.openxmlformats.org/officeDocument/2006/relationships/webSettings" Target="webSettings.xml"/><Relationship Id="rId9" Type="http://schemas.openxmlformats.org/officeDocument/2006/relationships/hyperlink" Target="http://onlinelibrary.wiley.com/doi/10.1002/adma.201102518/full" TargetMode="External"/><Relationship Id="rId14" Type="http://schemas.openxmlformats.org/officeDocument/2006/relationships/hyperlink" Target="http://circres.ahajournals.org/site/misc/ArtGuidelinesCirc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Saucerman</dc:creator>
  <cp:keywords/>
  <dc:description/>
  <cp:lastModifiedBy>Jeff Saucerman</cp:lastModifiedBy>
  <cp:revision>22</cp:revision>
  <dcterms:created xsi:type="dcterms:W3CDTF">2014-12-05T02:31:00Z</dcterms:created>
  <dcterms:modified xsi:type="dcterms:W3CDTF">2014-12-05T15:22:00Z</dcterms:modified>
</cp:coreProperties>
</file>