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差旅报销与发票制度 2026</w:t>
      </w:r>
    </w:p>
    <w:p>
      <w:r>
        <w:t>文档编号：REAL-RAG-TRAVEL-2026</w:t>
      </w:r>
    </w:p>
    <w:p>
      <w:r>
        <w:t>状态：现行</w:t>
      </w:r>
    </w:p>
    <w:p>
      <w:r>
        <w:t>来源级别：内部权威</w:t>
      </w:r>
    </w:p>
    <w:p/>
    <w:p>
      <w:r>
        <w:t>## 第 1 页：住宿标准</w:t>
      </w:r>
    </w:p>
    <w:p>
      <w:r>
        <w:t>从 2026 年 7 月 1 日起，一线城市住宿标准为每人每天不超过 500 元。上海、北京、广州、深圳按一线城市执行。二线城市住宿标准为每人每天不超过 350 元。</w:t>
      </w:r>
    </w:p>
    <w:p/>
    <w:p>
      <w:r>
        <w:t>超出标准的住宿费用原则上由个人承担。确因展会、会议或客户指定酒店导致超标，需要在出差申请中提前说明，并由部门负责人审批。</w:t>
      </w:r>
    </w:p>
    <w:p/>
    <w:p>
      <w:r>
        <w:t>## 第 2 页：餐饮与交通</w:t>
      </w:r>
    </w:p>
    <w:p>
      <w:r>
        <w:t>员工出差期间餐饮补贴为每人每天 150 元，无需提供餐饮发票。城市内交通费按实际发生报销，需要提供打车票据或公共交通凭证。</w:t>
      </w:r>
    </w:p>
    <w:p/>
    <w:p>
      <w:r>
        <w:t>高铁二等座、飞机经济舱为默认交通标准。特殊情况需要升舱或改签时，应保留说明材料。</w:t>
      </w:r>
    </w:p>
    <w:p/>
    <w:p>
      <w:r>
        <w:t>## 第 3 页：发票与抬头</w:t>
      </w:r>
    </w:p>
    <w:p>
      <w:r>
        <w:t>差旅住宿发票必须使用公司全称作为发票抬头。发票内容应为住宿费、会议费或交通服务费，不能使用“办公用品”等无关项目替代。</w:t>
      </w:r>
    </w:p>
    <w:p/>
    <w:p>
      <w:r>
        <w:t>如果酒店只能开电子发票，员工需要在 OA 报销单中上传电子发票原件，并填写发票号码。发票抬头错误时，应先联系开票方重开。</w:t>
      </w:r>
    </w:p>
    <w:p/>
    <w:p>
      <w:r>
        <w:t>## 第 4 页：提交时限</w:t>
      </w:r>
    </w:p>
    <w:p>
      <w:r>
        <w:t>差旅报销单须在返回工作地后 5 个工作日内提交 OA 系统。逾期提交需要补充说明原因，由直属主管确认后再进入财务审核。</w:t>
      </w:r>
    </w:p>
    <w:p/>
    <w:p>
      <w:r>
        <w:t>财务审核通过后，报销款通常在 3 个工作日内发放到工资卡。资料缺失会退回补正，补正后重新计算审核时限。</w:t>
      </w:r>
    </w:p>
    <w:p/>
    <w:p>
      <w:r>
        <w:t>## 第 5 页：国际差旅</w:t>
      </w:r>
    </w:p>
    <w:p>
      <w:r>
        <w:t>出境出差除国内标准外，须在出发前 10 个工作日提交国际差旅申请，附行程单、邀请函或项目合同页。国际段机票默认经济舱；单段飞行超过 8 小时可申请公务舱，须部门负责人和财务共享中心双签。</w:t>
      </w:r>
    </w:p>
    <w:p/>
    <w:p>
      <w:r>
        <w:t>境外住宿按目的地城市公示档执行，不得套用国内一线城市 500 元标准。汇率以报销单提交当日中国外汇交易中心中间价折算人民币。</w:t>
      </w:r>
    </w:p>
    <w:p/>
    <w:p>
      <w:r>
        <w:t>## 第 6 页：发票丢失与补救</w:t>
      </w:r>
    </w:p>
    <w:p>
      <w:r>
        <w:t>纸质发票丢失的，员工须提供酒店或承运方出具的盖章情况说明、消费流水和行程记录，经直属主管签字后按原标准的 70% 报销，且同一自然年不超过两次。电子发票可在税务平台查验的，以查验截图替代原件，不视为丢失。</w:t>
      </w:r>
    </w:p>
    <w:p/>
    <w:p>
      <w:r>
        <w:t>伪造发票或重复报销一经查实，全额追回并按信息安全红线处理。</w:t>
      </w:r>
    </w:p>
    <w:p/>
    <w:p>
      <w:r>
        <w:t>## 第 7 页：协议酒店</w:t>
      </w:r>
    </w:p>
    <w:p>
      <w:r>
        <w:t>一线城市应优先预订公司协议酒店。协议酒店无房时，须在申请单附三家比价截图，临时上浮幅度最高 20%，与《差旅管理制度》TRAVEL-2026-07 第 4 页一致。</w:t>
      </w:r>
    </w:p>
    <w:p/>
    <w:p>
      <w:r>
        <w:t>自行升级房型、迷你吧、洗衣和旅游门票一律自理。客户指定酒店须在出差申请的“客户要求”栏写明联系人。</w:t>
      </w:r>
    </w:p>
    <w:p/>
    <w:p>
      <w:r>
        <w:t>## 第 8 页：客户招待</w:t>
      </w:r>
    </w:p>
    <w:p>
      <w:r>
        <w:t>陪同客户用餐不得与每人每天 150 元餐饮补贴同时领取。招待费走商务招待科目，须事先申请并保留对方出席人员名单；单次超过 1,200 元须部门负责人审批。</w:t>
      </w:r>
    </w:p>
    <w:p/>
    <w:p>
      <w:r>
        <w:t>不得把招待费开成“住宿费”混入差旅单。混开的发票整单退回。</w:t>
      </w:r>
    </w:p>
    <w:p/>
    <w:p>
      <w:r>
        <w:t>## 第 9 页：与正式制度的关系</w:t>
      </w:r>
    </w:p>
    <w:p>
      <w:r>
        <w:t>本页是报销操作说明，住宿上限、餐饮补贴和提交时限与 TRAVEL-2026-07 保持一致：一线城市住宿 500 元、餐饮 150 元、返回后 5 个工作日内提交。若两份文档个别表述冲突，以 TRAVEL-2026-07 现行版为准。</w:t>
      </w:r>
    </w:p>
    <w:p/>
    <w:p>
      <w:r>
        <w:t>2025 年旧版 TRAVEL-2025-01 的 450 元住宿上限自 2026 年 7 月 1 日起废止，不得用于新单。</w:t>
      </w:r>
    </w:p>
    <w:p/>
    <w:p>
      <w:r>
        <w:t>## 第 10 页：常见驳回原因</w:t>
      </w:r>
    </w:p>
    <w:p>
      <w:r>
        <w:t>财务最常见的退单原因依次为：发票抬头不是公司全称、住宿超标未附审批、提交超过 5 个工作日且无说明、市内交通无合法票据、把已废止的 450 元标准填进 2026 年 7 月后的单据。</w:t>
      </w:r>
    </w:p>
    <w:p/>
    <w:p>
      <w:r>
        <w:t>被退回后须在 5 个工作日内补正；逾期未补正视为撤回申请，需重新发起。</w:t>
      </w:r>
    </w:p>
    <w:p/>
    <w:p>
      <w:r>
        <w:t>## 第 11 页：节假日出差</w:t>
      </w:r>
    </w:p>
    <w:p>
      <w:r>
        <w:t>法定节假日或周末出发、返回的，住宿和交通仍按第 1、2 页标准报销，不另加节假日补贴。节假日加班费走考勤与薪酬制度，不在差旅单里重复领取。</w:t>
      </w:r>
    </w:p>
    <w:p/>
    <w:p>
      <w:r>
        <w:t>跨节假日连续出差超过 7 天的，须在申请单备注项目阶段，避免被当成个人休假夹带报销。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