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2000000">
      <w:pPr>
        <w:spacing w:after="0" w:before="0"/>
        <w:ind w:firstLine="0" w:left="0" w:right="0"/>
        <w:jc w:val="center"/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</w:pPr>
      <w:r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  <w:t>T  </w:t>
      </w:r>
      <w:r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  <w:t>  </w:t>
      </w:r>
      <w:r>
        <w:rPr>
          <w:rFonts w:ascii="PT Astra Sans" w:hAnsi="PT Astra Sans"/>
          <w:b w:val="0"/>
          <w:i w:val="0"/>
          <w:caps w:val="0"/>
          <w:color w:val="000000"/>
          <w:spacing w:val="0"/>
          <w:sz w:val="26"/>
          <w:highlight w:val="white"/>
        </w:rPr>
        <w:t>   Министерство науки и высшего образования Российской Федерации</w:t>
      </w:r>
      <w:r>
        <w:rPr>
          <w:rFonts w:ascii="PT Astra Sans" w:hAnsi="PT Astra Sans"/>
          <w:b w:val="0"/>
          <w:i w:val="0"/>
          <w:caps w:val="0"/>
          <w:color w:val="000000"/>
          <w:spacing w:val="0"/>
          <w:sz w:val="26"/>
          <w:highlight w:val="white"/>
        </w:rPr>
        <w:t> </w:t>
      </w:r>
    </w:p>
    <w:p w14:paraId="03000000">
      <w:pPr>
        <w:spacing w:after="0" w:before="0"/>
        <w:ind w:firstLine="0" w:left="0" w:right="0"/>
        <w:jc w:val="center"/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</w:pPr>
    </w:p>
    <w:p w14:paraId="04000000">
      <w:pPr>
        <w:spacing w:after="0" w:before="0"/>
        <w:ind w:firstLine="0" w:left="0" w:right="0"/>
        <w:jc w:val="center"/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</w:pPr>
      <w:r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  <w:t>ФЕДЕРАЛЬНОЕ ГОСУДАРСТВЕННОЕ АВТОНОМНОЕ ОБРАЗОВАТЕЛЬНОЕ УЧРЕЖДЕНИЕ ВЫСШЕГО ОБРАЗОВАНИЯ</w:t>
      </w:r>
      <w:r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  <w:t> </w:t>
      </w:r>
    </w:p>
    <w:p w14:paraId="05000000">
      <w:pPr>
        <w:spacing w:after="0" w:before="0"/>
        <w:ind w:firstLine="0" w:left="0" w:right="0"/>
        <w:jc w:val="center"/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</w:pPr>
      <w:r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  <w:t>“НАЦИОНАЛЬНЫЙ ИССЛЕДОВАТЕЛЬСКИЙ УНИВЕРСИТЕТ ИТМО”</w:t>
      </w:r>
      <w:r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  <w:t> </w:t>
      </w:r>
    </w:p>
    <w:p w14:paraId="06000000">
      <w:pPr>
        <w:spacing w:after="0" w:before="0"/>
        <w:ind w:firstLine="0" w:left="0" w:right="0"/>
        <w:jc w:val="center"/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</w:pPr>
    </w:p>
    <w:p w14:paraId="07000000">
      <w:pPr>
        <w:spacing w:after="0" w:before="0"/>
        <w:ind w:firstLine="0" w:left="0" w:right="0"/>
        <w:jc w:val="center"/>
        <w:rPr>
          <w:rFonts w:ascii="PT Astra Sans" w:hAnsi="PT Astra Sans"/>
          <w:b w:val="0"/>
          <w:i w:val="0"/>
          <w:caps w:val="0"/>
          <w:color w:val="000000"/>
          <w:spacing w:val="0"/>
          <w:sz w:val="26"/>
          <w:highlight w:val="white"/>
        </w:rPr>
      </w:pPr>
      <w:r>
        <w:rPr>
          <w:rFonts w:ascii="PT Astra Sans" w:hAnsi="PT Astra Sans"/>
          <w:b w:val="0"/>
          <w:i w:val="0"/>
          <w:caps w:val="0"/>
          <w:color w:val="000000"/>
          <w:spacing w:val="0"/>
          <w:sz w:val="26"/>
          <w:highlight w:val="white"/>
        </w:rPr>
        <w:t>Факультет</w:t>
      </w:r>
      <w:r>
        <w:rPr>
          <w:rFonts w:ascii="PT Astra Sans" w:hAnsi="PT Astra Sans"/>
          <w:b w:val="0"/>
          <w:i w:val="0"/>
          <w:caps w:val="0"/>
          <w:color w:val="000000"/>
          <w:spacing w:val="0"/>
          <w:sz w:val="26"/>
          <w:highlight w:val="white"/>
        </w:rPr>
        <w:t xml:space="preserve"> Программной инженерии и компьютерной техники</w:t>
      </w:r>
    </w:p>
    <w:p w14:paraId="08000000">
      <w:pPr>
        <w:spacing w:after="0" w:before="0"/>
        <w:ind w:firstLine="0" w:left="0" w:right="0"/>
        <w:jc w:val="center"/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</w:pPr>
    </w:p>
    <w:p w14:paraId="09000000">
      <w:pPr>
        <w:spacing w:after="0" w:before="0"/>
        <w:ind w:firstLine="0" w:left="0" w:right="0"/>
        <w:jc w:val="center"/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</w:pPr>
      <w:r>
        <w:drawing>
          <wp:inline>
            <wp:extent cx="2628899" cy="1838325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2628899" cy="18383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</w:p>
    <w:p w14:paraId="0A000000">
      <w:pPr>
        <w:pStyle w:val="Style_1"/>
        <w:spacing w:after="144" w:before="144"/>
        <w:ind/>
        <w:jc w:val="center"/>
        <w:rPr>
          <w:rFonts w:ascii="PT Serif" w:hAnsi="PT Serif"/>
        </w:rPr>
      </w:pPr>
      <w:r>
        <w:rPr>
          <w:rFonts w:ascii="PT Serif" w:hAnsi="PT Serif"/>
        </w:rPr>
        <w:t>Отчет</w:t>
      </w:r>
    </w:p>
    <w:p w14:paraId="0B000000">
      <w:pPr>
        <w:pStyle w:val="Style_1"/>
        <w:spacing w:after="144" w:before="144"/>
        <w:ind/>
        <w:jc w:val="center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По лабораторной работе №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1</w:t>
      </w:r>
    </w:p>
    <w:p w14:paraId="0C000000">
      <w:pPr>
        <w:pStyle w:val="Style_1"/>
        <w:spacing w:after="144" w:before="144"/>
        <w:ind/>
        <w:jc w:val="center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По предмет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у: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 xml:space="preserve"> 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 xml:space="preserve"> Метрология, стандартизация и сертификация</w:t>
      </w:r>
    </w:p>
    <w:p w14:paraId="0D000000">
      <w:pPr>
        <w:pStyle w:val="Style_1"/>
        <w:spacing w:after="144" w:before="144"/>
        <w:ind/>
        <w:jc w:val="center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Вариант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 xml:space="preserve"> 1</w:t>
      </w:r>
    </w:p>
    <w:p w14:paraId="0E000000">
      <w:pPr>
        <w:pStyle w:val="Style_1"/>
        <w:spacing w:after="144" w:before="144"/>
        <w:ind/>
        <w:jc w:val="center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</w:p>
    <w:p w14:paraId="0F000000">
      <w:pPr>
        <w:pStyle w:val="Style_1"/>
        <w:spacing w:after="144" w:before="144"/>
        <w:ind/>
        <w:jc w:val="center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</w:p>
    <w:p w14:paraId="10000000">
      <w:pPr>
        <w:pStyle w:val="Style_1"/>
        <w:spacing w:after="144" w:before="144"/>
        <w:ind/>
        <w:jc w:val="center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</w:p>
    <w:p w14:paraId="11000000">
      <w:pPr>
        <w:pStyle w:val="Style_1"/>
        <w:spacing w:after="144" w:before="144"/>
        <w:ind/>
        <w:jc w:val="center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</w:p>
    <w:p w14:paraId="12000000">
      <w:pPr>
        <w:pStyle w:val="Style_1"/>
        <w:spacing w:after="144" w:before="144"/>
        <w:ind/>
        <w:jc w:val="center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</w:p>
    <w:p w14:paraId="13000000">
      <w:pPr>
        <w:spacing w:after="144" w:before="144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Студент:  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14000000">
      <w:pPr>
        <w:ind/>
        <w:jc w:val="right"/>
      </w:pPr>
      <w:r>
        <w:t>Андрейченко Леонид Вадимович</w:t>
      </w:r>
      <w:r>
        <w:t> </w:t>
      </w:r>
    </w:p>
    <w:p w14:paraId="15000000">
      <w:pPr>
        <w:spacing w:after="144" w:before="144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Группа P3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4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301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16000000">
      <w:pPr>
        <w:spacing w:after="144" w:before="144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</w:p>
    <w:p w14:paraId="17000000">
      <w:pPr>
        <w:spacing w:after="144" w:before="144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18000000">
      <w:pPr>
        <w:spacing w:after="144" w:before="144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19000000">
      <w:pPr>
        <w:spacing w:after="144" w:before="144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Преподаватель: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1A000000">
      <w:pPr>
        <w:pStyle w:val="Style_1"/>
        <w:spacing w:after="144" w:before="144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Рассадина Анна Александровна</w:t>
      </w:r>
    </w:p>
    <w:p w14:paraId="1B000000">
      <w:pPr>
        <w:spacing w:after="0" w:before="0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1C000000">
      <w:pPr>
        <w:spacing w:after="0" w:before="0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1D000000">
      <w:pPr>
        <w:spacing w:after="0" w:before="0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1E000000">
      <w:pPr>
        <w:spacing w:after="0" w:before="0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1F000000">
      <w:pPr>
        <w:spacing w:after="0" w:before="0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</w:p>
    <w:p w14:paraId="20000000">
      <w:pPr>
        <w:spacing w:after="0" w:before="0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21000000">
      <w:pPr>
        <w:spacing w:after="144" w:before="144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22000000">
      <w:pPr>
        <w:spacing w:after="144" w:before="144"/>
        <w:ind w:firstLine="0" w:left="0" w:right="0"/>
        <w:jc w:val="center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Санкт-Петербург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23000000">
      <w:pPr>
        <w:spacing w:after="144" w:before="144"/>
        <w:ind w:firstLine="0" w:left="0" w:right="0"/>
        <w:jc w:val="center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202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3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  <w:r>
        <w:br w:type="page"/>
      </w:r>
    </w:p>
    <w:p w14:paraId="24000000">
      <w:pPr>
        <w:pStyle w:val="Style_2"/>
      </w:pPr>
      <w:r>
        <w:t>Протокол измерений</w:t>
      </w:r>
    </w:p>
    <w:p w14:paraId="25000000">
      <w:r>
        <w:drawing>
          <wp:inline>
            <wp:extent cx="6830060" cy="6125711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830060" cy="61257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6000000">
      <w:pPr>
        <w:pStyle w:val="Style_2"/>
      </w:pPr>
      <w:r>
        <w:t>Цель работы</w:t>
      </w:r>
    </w:p>
    <w:p w14:paraId="27000000">
      <w:pPr>
        <w:pStyle w:val="Style_2"/>
        <w:ind/>
        <w:jc w:val="both"/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Приобретение навыков обработки р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 xml:space="preserve">езультатов измерений. 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 xml:space="preserve">научиться определять абсолютную и относительную погрешности прямых измерений. 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Обработать данные прямых измерений размера металлического образца и оценить погрешности.</w:t>
      </w:r>
    </w:p>
    <w:p w14:paraId="28000000">
      <w:pPr>
        <w:pStyle w:val="Style_2"/>
      </w:pPr>
      <w:r>
        <w:t>Результаты обработки данных</w:t>
      </w:r>
    </w:p>
    <w:p w14:paraId="29000000">
      <w:pPr>
        <w:pStyle w:val="Style_3"/>
      </w:pPr>
      <w:r>
        <w:t>Устранение или учёт известных систематических погрешностей</w:t>
      </w:r>
    </w:p>
    <w:p w14:paraId="2A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t>Записанная на измерительном приборе (штангенциркуле) точность измерений составляет ∆= 0,02 мм.</w:t>
      </w:r>
    </w:p>
    <w:p w14:paraId="2B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t xml:space="preserve">Приборная систематическая погрешность вычисляется по формуле: </w:t>
      </w:r>
      <m:oMathPara>
        <m:oMath>
          <m:r>
            <w:rPr>
              <w:rFonts w:ascii="Cambria Math" w:hAnsi="Cambria Math"/>
              <w:sz w:val="23"/>
            </w:rPr>
            <m:t>θ=</m:t>
          </m:r>
          <m:r>
            <w:rPr>
              <w:rFonts w:ascii="Cambria Math" w:hAnsi="Cambria Math"/>
              <w:sz w:val="23"/>
            </w:rPr>
            <m:rPr>
              <m:sty m:val="p"/>
            </m:rPr>
            <m:t>∆/</m:t>
          </m:r>
          <m:r>
            <w:rPr>
              <w:rFonts w:ascii="Cambria Math" w:hAnsi="Cambria Math"/>
              <w:sz w:val="23"/>
            </w:rPr>
            <m:t>2</m:t>
          </m:r>
        </m:oMath>
      </m:oMathPara>
    </w:p>
    <w:p w14:paraId="2C000000">
      <w:pPr>
        <w:pStyle w:val="Style_1"/>
        <w:ind/>
        <w:jc w:val="both"/>
      </w:pPr>
      <w:r>
        <w:t xml:space="preserve">Тогда для используемого штангенциркуля систематическая погрешность составляет: </w:t>
      </w:r>
    </w:p>
    <w:p w14:paraId="2D000000">
      <w:pPr>
        <w:pStyle w:val="Style_1"/>
        <w:ind/>
        <w:jc w:val="center"/>
      </w:pPr>
      <m:oMathPara>
        <m:oMath>
          <m:r>
            <w:rPr>
              <w:rFonts w:ascii="Cambria Math" w:hAnsi="Cambria Math"/>
              <w:sz w:val="28"/>
            </w:rPr>
            <m:t>θ=</m:t>
          </m:r>
          <m:f>
            <m:fPr>
              <m:type m:val="bar"/>
            </m:fPr>
            <m:num>
              <m:r>
                <w:rPr>
                  <w:rFonts w:ascii="Cambria Math" w:hAnsi="Cambria Math"/>
                  <w:sz w:val="28"/>
                </w:rPr>
                <m:t>0.02</m:t>
              </m:r>
            </m:num>
            <m:den>
              <m:r>
                <w:rPr>
                  <w:rFonts w:ascii="Cambria Math" w:hAnsi="Cambria Math"/>
                  <w:sz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</w:rPr>
            <m:t>=0.01</m:t>
          </m:r>
          <m:r>
            <w:rPr>
              <w:rFonts w:ascii="Cambria Math" w:hAnsi="Cambria Math"/>
              <w:sz w:val="28"/>
            </w:rPr>
            <m:rPr>
              <m:sty m:val="p"/>
            </m:rPr>
            <m:t>м</m:t>
          </m:r>
          <m:r>
            <w:rPr>
              <w:rFonts w:ascii="Cambria Math" w:hAnsi="Cambria Math"/>
              <w:sz w:val="28"/>
            </w:rPr>
            <m:rPr>
              <m:sty m:val="p"/>
            </m:rPr>
            <m:t>м</m:t>
          </m:r>
        </m:oMath>
      </m:oMathPara>
    </w:p>
    <w:p w14:paraId="2E000000">
      <w:pPr>
        <w:pStyle w:val="Style_3"/>
      </w:pPr>
      <w:r>
        <w:t>Вычисление среднего значения</w:t>
      </w:r>
    </w:p>
    <w:p w14:paraId="2F000000">
      <w:pPr>
        <w:spacing w:after="144" w:before="144"/>
        <w:ind w:firstLine="0" w:left="0" w:right="0"/>
        <w:jc w:val="left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t>Вычисление среднего арифметического значения исправленных результатов измерений происходит по формуле:</w:t>
      </w:r>
    </w:p>
    <w:p w14:paraId="30000000">
      <w:pPr>
        <w:spacing w:after="144" w:before="144"/>
        <w:ind w:firstLine="0" w:left="0" w:right="0"/>
        <w:jc w:val="left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drawing>
          <wp:anchor allowOverlap="true" behindDoc="false" distL="114300" distR="114300" layoutInCell="true" locked="false" relativeHeight="251658240" simplePos="false">
            <wp:simplePos x="0" y="0"/>
            <wp:positionH relativeFrom="column">
              <wp:posOffset>5567680</wp:posOffset>
            </wp:positionH>
            <wp:positionV relativeFrom="page">
              <wp:posOffset>653411</wp:posOffset>
            </wp:positionV>
            <wp:extent cx="942975" cy="600074"/>
            <wp:effectExtent b="0" l="0" r="0" t="0"/>
            <wp:wrapSquare distL="114300" distR="114300" wrapText="bothSides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942975" cy="600074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31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m:oMathPara>
        <m:oMath>
          <m:bar>
            <m:barPr>
              <m:pos m:val="top"/>
            </m:barPr>
            <m:e>
              <m:r>
                <w:rPr>
                  <w:rFonts w:ascii="Cambria Math" w:hAnsi="Cambria Math"/>
                  <w:sz w:val="30"/>
                </w:rPr>
                <m:t>x</m:t>
              </m:r>
            </m:e>
          </m:bar>
          <m:r>
            <w:rPr>
              <w:rFonts w:ascii="Cambria Math" w:hAnsi="Cambria Math"/>
              <w:sz w:val="30"/>
            </w:rPr>
            <m:t>=1/7*(30+29+30+30+29+30+30)=208/7=29.71</m:t>
          </m:r>
          <m:r>
            <w:rPr>
              <w:rFonts w:ascii="Cambria Math" w:hAnsi="Cambria Math"/>
              <w:sz w:val="30"/>
            </w:rPr>
            <m:rPr>
              <m:sty m:val="p"/>
            </m:rPr>
            <m:t>м</m:t>
          </m:r>
          <m:r>
            <w:rPr>
              <w:rFonts w:ascii="Cambria Math" w:hAnsi="Cambria Math"/>
              <w:sz w:val="30"/>
            </w:rPr>
            <m:rPr>
              <m:sty m:val="p"/>
            </m:rPr>
            <m:t>м</m:t>
          </m:r>
        </m:oMath>
      </m:oMathPara>
    </w:p>
    <w:p w14:paraId="32000000">
      <w:pPr>
        <w:pStyle w:val="Style_3"/>
      </w:pPr>
      <w:r>
        <w:t>Вычисление среднего квадратического отклонения</w:t>
      </w:r>
    </w:p>
    <w:p w14:paraId="33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t>Среднее квадратическое отклонение S группы, которая содержит n результатов измерений, вычисляется по формуле:</w:t>
      </w:r>
      <w:r>
        <w:drawing>
          <wp:anchor allowOverlap="true" behindDoc="false" distL="114300" distR="114300" layoutInCell="true" locked="false" relativeHeight="251658240" simplePos="false">
            <wp:simplePos x="0" y="0"/>
            <wp:positionH relativeFrom="column">
              <wp:posOffset>4996180</wp:posOffset>
            </wp:positionH>
            <wp:positionV relativeFrom="page">
              <wp:posOffset>1891661</wp:posOffset>
            </wp:positionV>
            <wp:extent cx="1857375" cy="714375"/>
            <wp:effectExtent b="0" l="0" r="0" t="0"/>
            <wp:wrapSquare distL="114300" distR="114300" wrapText="bothSides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1857375" cy="714375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34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t>Вычислим среднее квадратическое отклонение для наших измерений:</w:t>
      </w:r>
    </w:p>
    <w:p w14:paraId="35000000">
      <w:pPr>
        <w:spacing w:after="144" w:before="144"/>
        <w:ind w:firstLine="0" w:left="0" w:right="0"/>
        <w:jc w:val="left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m:oMathPara>
        <m:oMath>
          <m:sSub>
            <m:e>
              <m:r>
                <w:rPr>
                  <w:rFonts w:ascii="Cambria Math" w:hAnsi="Cambria Math"/>
                  <w:sz w:val="22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</w:rPr>
                <m:t>x</m:t>
              </m:r>
            </m:sub>
          </m:sSub>
          <m:r>
            <w:rPr>
              <w:rFonts w:ascii="Cambria Math" w:hAnsi="Cambria Math"/>
              <w:sz w:val="22"/>
            </w:rPr>
            <m:t>=</m:t>
          </m:r>
          <m:rad>
            <m:radPr>
              <m:degHide m:val="off"/>
            </m:radPr>
            <m:deg/>
            <m:e>
              <m:f>
                <m:fPr>
                  <m:type m:val="bar"/>
                </m:fPr>
                <m:num>
                  <m:r>
                    <w:rPr>
                      <w:rFonts w:ascii="Cambria Math" w:hAnsi="Cambria Math"/>
                      <w:sz w:val="2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2"/>
                    </w:rPr>
                    <m:t>7-1</m:t>
                  </m:r>
                </m:den>
              </m:f>
              <m:r>
                <w:rPr>
                  <w:rFonts w:ascii="Cambria Math" w:hAnsi="Cambria Math"/>
                  <w:sz w:val="22"/>
                </w:rPr>
                <m:t>*</m:t>
              </m:r>
              <m:d>
                <m:dPr>
                  <m:sepChr m:val=","/>
                  <m:endChr m:val="("/>
                </m:dPr>
                <m:e>
                  <m:r>
                    <w:rPr>
                      <w:rFonts w:ascii="Cambria Math" w:hAnsi="Cambria Math"/>
                      <w:sz w:val="22"/>
                    </w:rPr>
                    <m:t>5*</m:t>
                  </m:r>
                </m:e>
              </m:d>
              <m:r>
                <w:rPr>
                  <w:rFonts w:ascii="Cambria Math" w:hAnsi="Cambria Math"/>
                  <w:sz w:val="22"/>
                </w:rPr>
                <m:t>30-29.71</m:t>
              </m:r>
              <m:sSup>
                <m:e>
                  <m:r>
                    <w:rPr>
                      <w:rFonts w:ascii="Cambria Math" w:hAnsi="Cambria Math"/>
                      <w:sz w:val="2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</w:rPr>
                <m:t>)+2*(29-29.71</m:t>
              </m:r>
              <m:sSup>
                <m:e>
                  <m:r>
                    <w:rPr>
                      <w:rFonts w:ascii="Cambria Math" w:hAnsi="Cambria Math"/>
                      <w:sz w:val="2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</w:rPr>
                <m:t>)</m:t>
              </m:r>
            </m:e>
          </m:rad>
          <m:r>
            <w:rPr>
              <w:rFonts w:ascii="Cambria Math" w:hAnsi="Cambria Math"/>
              <w:sz w:val="22"/>
            </w:rPr>
            <m:t>=</m:t>
          </m:r>
          <m:rad>
            <m:radPr>
              <m:degHide m:val="off"/>
            </m:radPr>
            <m:deg/>
            <m:e>
              <m:f>
                <m:fPr>
                  <m:type m:val="bar"/>
                </m:fPr>
                <m:num>
                  <m:r>
                    <w:rPr>
                      <w:rFonts w:ascii="Cambria Math" w:hAnsi="Cambria Math"/>
                      <w:sz w:val="2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2"/>
                    </w:rPr>
                    <m:t>6</m:t>
                  </m:r>
                </m:den>
              </m:f>
              <m:r>
                <w:rPr>
                  <w:rFonts w:ascii="Cambria Math" w:hAnsi="Cambria Math"/>
                  <w:sz w:val="22"/>
                </w:rPr>
                <m:t>*</m:t>
              </m:r>
              <m:d>
                <m:dPr>
                  <m:sepChr m:val=","/>
                  <m:endChr m:val="("/>
                </m:dPr>
                <m:e/>
              </m:d>
              <m:r>
                <w:rPr>
                  <w:rFonts w:ascii="Cambria Math" w:hAnsi="Cambria Math"/>
                  <w:sz w:val="22"/>
                </w:rPr>
                <m:t>5*0.841)+(2*0.504</m:t>
              </m:r>
              <m:d>
                <m:dPr>
                  <m:begChr m:val=")"/>
                  <m:sepChr m:val=","/>
                </m:dPr>
                <m:e/>
              </m:d>
            </m:e>
          </m:rad>
          <m:r>
            <w:rPr>
              <w:rFonts w:ascii="Cambria Math" w:hAnsi="Cambria Math"/>
              <w:sz w:val="22"/>
            </w:rPr>
            <m:t>=</m:t>
          </m:r>
          <m:rad>
            <m:radPr>
              <m:degHide m:val="off"/>
            </m:radPr>
            <m:deg/>
            <m:e>
              <m:f>
                <m:fPr>
                  <m:type m:val="bar"/>
                </m:fPr>
                <m:num>
                  <m:r>
                    <w:rPr>
                      <w:rFonts w:ascii="Cambria Math" w:hAnsi="Cambria Math"/>
                      <w:sz w:val="2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2"/>
                    </w:rPr>
                    <m:t>6</m:t>
                  </m:r>
                </m:den>
              </m:f>
              <m:r>
                <w:rPr>
                  <w:rFonts w:ascii="Cambria Math" w:hAnsi="Cambria Math"/>
                  <w:sz w:val="22"/>
                </w:rPr>
                <m:t>*5.213</m:t>
              </m:r>
            </m:e>
          </m:rad>
          <m:r>
            <w:rPr>
              <w:rFonts w:ascii="Cambria Math" w:hAnsi="Cambria Math"/>
              <w:sz w:val="22"/>
            </w:rPr>
            <m:t>=0.90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</m:oMath>
      </m:oMathPara>
    </w:p>
    <w:p w14:paraId="36000000">
      <w:pPr>
        <w:pStyle w:val="Style_3"/>
      </w:pPr>
      <w:r>
        <w:t>Проверка на промахи</w:t>
      </w:r>
    </w:p>
    <w:p w14:paraId="37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t>Для того, чтобы исключить промахи (грубые погрешности), которые выбиваются из общего ряда проведённых измерений, используется критерий Грабса. Для этого необходимо вычислить G1 и G2 согласно формулам:</w:t>
      </w:r>
    </w:p>
    <w:p w14:paraId="38000000">
      <w:pPr>
        <w:spacing w:after="144" w:before="144"/>
        <w:ind w:firstLine="0" w:left="0" w:right="0"/>
        <w:jc w:val="left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drawing>
          <wp:inline>
            <wp:extent cx="6781799" cy="876300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781799" cy="8763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9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t>Выберем уровень значимости q=5%, и тогда теоретическим значением критерия Грабса мы будем считать GT=2,020. Вычислим G1 и G2 для проведения дальнейших сравнений:</w:t>
      </w:r>
    </w:p>
    <w:p w14:paraId="3A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m:oMathPara>
        <m:oMath>
          <m:sSub>
            <m:e>
              <m:r>
                <w:rPr>
                  <w:rFonts w:ascii="Cambria Math" w:hAnsi="Cambria Math"/>
                  <w:sz w:val="24"/>
                </w:rPr>
                <m:t>G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type m:val="bar"/>
            </m:fPr>
            <m:num>
              <m:r>
                <w:rPr>
                  <w:rFonts w:ascii="Cambria Math" w:hAnsi="Cambria Math"/>
                  <w:sz w:val="24"/>
                </w:rPr>
                <m:t>|30-29.71|</m:t>
              </m:r>
            </m:num>
            <m:den>
              <m:r>
                <w:rPr>
                  <w:rFonts w:ascii="Cambria Math" w:hAnsi="Cambria Math"/>
                  <w:sz w:val="24"/>
                </w:rPr>
                <m:t>0.9</m:t>
              </m:r>
            </m:den>
          </m:f>
          <m:r>
            <w:rPr>
              <w:rFonts w:ascii="Cambria Math" w:hAnsi="Cambria Math"/>
              <w:sz w:val="24"/>
            </w:rPr>
            <m:t>=0.32</m:t>
          </m:r>
        </m:oMath>
      </m:oMathPara>
      <w:r>
        <w:t xml:space="preserve"> </w:t>
      </w:r>
      <m:oMathPara>
        <m:oMath>
          <m:sSub>
            <m:e>
              <m:r>
                <w:rPr>
                  <w:rFonts w:ascii="Cambria Math" w:hAnsi="Cambria Math"/>
                  <w:sz w:val="24"/>
                </w:rPr>
                <m:t>G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type m:val="bar"/>
            </m:fPr>
            <m:num>
              <m:r>
                <w:rPr>
                  <w:rFonts w:ascii="Cambria Math" w:hAnsi="Cambria Math"/>
                  <w:sz w:val="24"/>
                </w:rPr>
                <m:t>|29.71-29|</m:t>
              </m:r>
            </m:num>
            <m:den>
              <m:r>
                <w:rPr>
                  <w:rFonts w:ascii="Cambria Math" w:hAnsi="Cambria Math"/>
                  <w:sz w:val="24"/>
                </w:rPr>
                <m:t>0.9</m:t>
              </m:r>
            </m:den>
          </m:f>
          <m:r>
            <w:rPr>
              <w:rFonts w:ascii="Cambria Math" w:hAnsi="Cambria Math"/>
              <w:sz w:val="24"/>
            </w:rPr>
            <m:t>=0.78</m:t>
          </m:r>
        </m:oMath>
      </m:oMathPara>
    </w:p>
    <w:p w14:paraId="3B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t>Промахов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 xml:space="preserve"> не произошло</w:t>
      </w:r>
    </w:p>
    <w:p w14:paraId="3C000000">
      <w:pPr>
        <w:pStyle w:val="Style_3"/>
      </w:pPr>
      <w:r>
        <w:t>Вычисление среднего квадратического отклонения среднего</w:t>
      </w:r>
    </w:p>
    <w:p w14:paraId="3D000000">
      <w:pPr>
        <w:spacing w:after="144" w:before="144"/>
        <w:ind w:firstLine="0" w:left="0" w:right="0"/>
        <w:jc w:val="left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t xml:space="preserve">Вычислим среднеквадратическое отклонение среднего по формуле:  </w:t>
      </w:r>
      <w:r>
        <w:drawing>
          <wp:anchor allowOverlap="true" behindDoc="false" distL="114300" distR="114300" layoutInCell="true" locked="false" relativeHeight="251658240" simplePos="false">
            <wp:simplePos x="0" y="0"/>
            <wp:positionH relativeFrom="column">
              <wp:posOffset>5539105</wp:posOffset>
            </wp:positionH>
            <wp:positionV relativeFrom="page">
              <wp:posOffset>6425561</wp:posOffset>
            </wp:positionV>
            <wp:extent cx="885713" cy="485714"/>
            <wp:effectExtent b="0" l="0" r="0" t="0"/>
            <wp:wrapSquare distL="114300" distR="114300" wrapText="bothSides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885713" cy="485714"/>
                    </a:xfrm>
                    <a:prstGeom prst="rect"/>
                  </pic:spPr>
                </pic:pic>
              </a:graphicData>
            </a:graphic>
          </wp:anchor>
        </w:drawing>
      </w:r>
      <w:r>
        <w:t xml:space="preserve"> </w:t>
      </w:r>
    </w:p>
    <w:p w14:paraId="3E000000">
      <w:pPr>
        <w:spacing w:after="144" w:before="144"/>
        <w:ind w:firstLine="0" w:left="4252" w:right="0"/>
        <w:jc w:val="left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m:oMathPara>
        <m:oMath>
          <m:r>
            <w:rPr>
              <w:rFonts w:ascii="Cambria Math" w:hAnsi="Cambria Math"/>
              <w:sz w:val="36"/>
            </w:rPr>
            <m:t>0.9/</m:t>
          </m:r>
          <m:rad>
            <m:radPr>
              <m:degHide m:val="off"/>
            </m:radPr>
            <m:deg/>
            <m:e>
              <m:r>
                <w:rPr>
                  <w:rFonts w:ascii="Cambria Math" w:hAnsi="Cambria Math"/>
                  <w:sz w:val="36"/>
                </w:rPr>
                <m:t>7</m:t>
              </m:r>
            </m:e>
          </m:rad>
          <m:r>
            <w:rPr>
              <w:rFonts w:ascii="Cambria Math" w:hAnsi="Cambria Math"/>
              <w:sz w:val="36"/>
            </w:rPr>
            <m:t>=0.34</m:t>
          </m:r>
          <m:r>
            <w:rPr>
              <w:rFonts w:ascii="Cambria Math" w:hAnsi="Cambria Math"/>
              <w:sz w:val="36"/>
            </w:rPr>
            <m:rPr>
              <m:sty m:val="p"/>
            </m:rPr>
            <m:t>м</m:t>
          </m:r>
          <m:r>
            <w:rPr>
              <w:rFonts w:ascii="Cambria Math" w:hAnsi="Cambria Math"/>
              <w:sz w:val="36"/>
            </w:rPr>
            <m:rPr>
              <m:sty m:val="p"/>
            </m:rPr>
            <m:t>м</m:t>
          </m:r>
        </m:oMath>
      </m:oMathPara>
    </w:p>
    <w:p w14:paraId="3F000000">
      <w:pPr>
        <w:pStyle w:val="Style_3"/>
      </w:pPr>
      <w:r>
        <w:t>Определение доверительной случайной погрешности</w:t>
      </w:r>
    </w:p>
    <w:p w14:paraId="40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  <w:vertAlign w:val="subscript"/>
        </w:rPr>
      </w:pPr>
      <w:r>
        <w:t xml:space="preserve">Доверительные границы случайной погрешности оценки измеряемой величины вычисляют по формуле: </w:t>
      </w:r>
    </w:p>
    <w:p w14:paraId="41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t>Выберем коэффициент Стьюдента по таблице, где доверительная вероятность P=95%. По таблице t=2,365. Тогда доверительные границы случайности для наших вычислений:</w:t>
      </w:r>
    </w:p>
    <w:p w14:paraId="42000000">
      <w:pPr>
        <w:spacing w:after="144" w:before="144"/>
        <w:ind w:firstLine="0" w:left="0" w:right="0"/>
        <w:jc w:val="center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m:oMathPara>
        <m:oMath>
          <m:r>
            <w:rPr>
              <w:rFonts w:ascii="Cambria Math" w:hAnsi="Cambria Math"/>
              <w:sz w:val="31"/>
            </w:rPr>
            <m:t>ε=</m:t>
          </m:r>
          <m:r>
            <w:rPr>
              <w:rFonts w:ascii="Cambria Math" w:hAnsi="Cambria Math"/>
              <w:sz w:val="31"/>
            </w:rPr>
            <m:rPr>
              <m:sty m:val="p"/>
            </m:rPr>
            <m:t>2,365</m:t>
          </m:r>
          <m:r>
            <w:rPr>
              <w:rFonts w:ascii="Cambria Math" w:hAnsi="Cambria Math"/>
              <w:sz w:val="31"/>
            </w:rPr>
            <m:t>∗</m:t>
          </m:r>
          <m:r>
            <w:rPr>
              <w:rFonts w:ascii="Cambria Math" w:hAnsi="Cambria Math"/>
              <w:sz w:val="31"/>
            </w:rPr>
            <m:rPr>
              <m:sty m:val="p"/>
            </m:rPr>
            <m:t>0,34</m:t>
          </m:r>
          <m:r>
            <w:rPr>
              <w:rFonts w:ascii="Cambria Math" w:hAnsi="Cambria Math"/>
              <w:sz w:val="31"/>
            </w:rPr>
            <m:t>=</m:t>
          </m:r>
          <m:r>
            <w:rPr>
              <w:rFonts w:ascii="Cambria Math" w:hAnsi="Cambria Math"/>
              <w:sz w:val="31"/>
            </w:rPr>
            <m:rPr>
              <m:sty m:val="p"/>
            </m:rPr>
            <m:t>0,80</m:t>
          </m:r>
          <m:r>
            <w:rPr>
              <w:rFonts w:ascii="Cambria Math" w:hAnsi="Cambria Math"/>
              <w:sz w:val="31"/>
            </w:rPr>
            <m:rPr>
              <m:sty m:val="p"/>
            </m:rPr>
            <m:t>м</m:t>
          </m:r>
          <m:r>
            <w:rPr>
              <w:rFonts w:ascii="Cambria Math" w:hAnsi="Cambria Math"/>
              <w:sz w:val="31"/>
            </w:rPr>
            <m:rPr>
              <m:sty m:val="p"/>
            </m:rPr>
            <m:t>м</m:t>
          </m:r>
        </m:oMath>
      </m:oMathPara>
    </w:p>
    <w:p w14:paraId="43000000">
      <w:pPr>
        <w:pStyle w:val="Style_3"/>
      </w:pPr>
      <w:r>
        <w:t>Запись окончатель</w:t>
      </w:r>
      <w:r>
        <w:drawing>
          <wp:anchor allowOverlap="true" behindDoc="false" distL="114300" distR="114300" layoutInCell="true" locked="false" relativeHeight="251658240" simplePos="false">
            <wp:simplePos x="0" y="0"/>
            <wp:positionH relativeFrom="column">
              <wp:posOffset>5548630</wp:posOffset>
            </wp:positionH>
            <wp:positionV relativeFrom="page">
              <wp:posOffset>7359011</wp:posOffset>
            </wp:positionV>
            <wp:extent cx="1228725" cy="419100"/>
            <wp:effectExtent b="0" l="0" r="0" t="0"/>
            <wp:wrapSquare distL="114300" distR="114300" wrapText="bothSides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1228725" cy="419100"/>
                    </a:xfrm>
                    <a:prstGeom prst="rect"/>
                  </pic:spPr>
                </pic:pic>
              </a:graphicData>
            </a:graphic>
          </wp:anchor>
        </w:drawing>
      </w:r>
      <w:r>
        <w:t>ного результата</w:t>
      </w:r>
    </w:p>
    <w:p w14:paraId="44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t xml:space="preserve">Для записи окончательного результата нам потребуется учесть полную абсолютную погрешность прямого измерения согласно формуле: </w:t>
      </w:r>
      <w:r>
        <w:drawing>
          <wp:anchor allowOverlap="true" behindDoc="false" distL="114300" distR="114300" layoutInCell="true" locked="false" relativeHeight="251658240" simplePos="false">
            <wp:simplePos x="0" y="0"/>
            <wp:positionH relativeFrom="column">
              <wp:posOffset>5662930</wp:posOffset>
            </wp:positionH>
            <wp:positionV relativeFrom="page">
              <wp:posOffset>8921111</wp:posOffset>
            </wp:positionV>
            <wp:extent cx="1104899" cy="352425"/>
            <wp:effectExtent b="0" l="0" r="0" t="0"/>
            <wp:wrapSquare distL="114300" distR="114300" wrapText="bothSides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1104899" cy="352425"/>
                    </a:xfrm>
                    <a:prstGeom prst="rect"/>
                  </pic:spPr>
                </pic:pic>
              </a:graphicData>
            </a:graphic>
          </wp:anchor>
        </w:drawing>
      </w:r>
      <w:r>
        <w:t>Для проведённых выше вычислений</w:t>
      </w:r>
      <m:oMathPara>
        <m:oMath>
          <m:rad>
            <m:radPr>
              <m:degHide m:val="off"/>
            </m:radPr>
            <m:deg/>
            <m:e>
              <m:r>
                <w:rPr>
                  <w:rFonts w:ascii="Cambria Math" w:hAnsi="Cambria Math"/>
                  <w:sz w:val="24"/>
                </w:rPr>
                <m:t>0.</m:t>
              </m:r>
              <m:sSup>
                <m:e>
                  <m:r>
                    <w:rPr>
                      <w:rFonts w:ascii="Cambria Math" w:hAnsi="Cambria Math"/>
                      <w:sz w:val="24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+0.</m:t>
              </m:r>
              <m:sSup>
                <m:e>
                  <m:r>
                    <w:rPr>
                      <w:rFonts w:ascii="Cambria Math" w:hAnsi="Cambria Math"/>
                      <w:sz w:val="24"/>
                    </w:rPr>
                    <m:t>01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</w:rPr>
            <m:t>=0.8</m:t>
          </m:r>
        </m:oMath>
      </m:oMathPara>
    </w:p>
    <w:p w14:paraId="45000000">
      <w:pPr>
        <w:pStyle w:val="Style_1"/>
        <w:spacing w:line="240" w:lineRule="auto"/>
        <w:ind/>
        <w:jc w:val="both"/>
      </w:pPr>
      <w:r>
        <w:t xml:space="preserve">Также вычислим относительную погрешность по формуле: </w:t>
      </w:r>
      <m:oMathPara>
        <m:oMath>
          <m:r>
            <w:rPr>
              <w:rFonts w:ascii="Cambria Math" w:hAnsi="Cambria Math"/>
              <w:sz w:val="25"/>
            </w:rPr>
            <m:t>δx=</m:t>
          </m:r>
          <m:f>
            <m:fPr>
              <m:type m:val="bar"/>
            </m:fPr>
            <m:num>
              <m:r>
                <w:rPr>
                  <w:rFonts w:ascii="Cambria Math" w:hAnsi="Cambria Math"/>
                  <w:sz w:val="25"/>
                </w:rPr>
                <m:t>∆</m:t>
              </m:r>
              <m:bar>
                <m:barPr>
                  <m:pos m:val="top"/>
                </m:barPr>
                <m:e>
                  <m:r>
                    <w:rPr>
                      <w:rFonts w:ascii="Cambria Math" w:hAnsi="Cambria Math"/>
                      <w:sz w:val="25"/>
                    </w:rPr>
                    <m:t>x</m:t>
                  </m:r>
                </m:e>
              </m:bar>
            </m:num>
            <m:den>
              <m:bar>
                <m:barPr>
                  <m:pos m:val="top"/>
                </m:barPr>
                <m:e>
                  <m:r>
                    <w:rPr>
                      <w:rFonts w:ascii="Cambria Math" w:hAnsi="Cambria Math"/>
                      <w:sz w:val="25"/>
                    </w:rPr>
                    <m:t>x</m:t>
                  </m:r>
                </m:e>
              </m:bar>
            </m:den>
          </m:f>
          <m:r>
            <w:rPr>
              <w:rFonts w:ascii="Cambria Math" w:hAnsi="Cambria Math"/>
              <w:sz w:val="25"/>
            </w:rPr>
            <m:t>*100=0.8/29.71=3</m:t>
          </m:r>
        </m:oMath>
      </m:oMathPara>
      <w:r>
        <w:rPr>
          <w:sz w:val="28"/>
        </w:rPr>
        <w:t>%</w:t>
      </w:r>
    </w:p>
    <w:p w14:paraId="46000000">
      <w:pPr>
        <w:pStyle w:val="Style_1"/>
        <w:ind/>
        <w:jc w:val="both"/>
      </w:pPr>
      <w:r>
        <w:t>После всех проведённых вычислений мы можем записать окончательный результат прямого измерения:</w:t>
      </w:r>
    </w:p>
    <w:p w14:paraId="47000000">
      <w:pPr>
        <w:pStyle w:val="Style_1"/>
        <w:ind/>
        <w:jc w:val="center"/>
      </w:pPr>
      <m:oMathPara>
        <m:oMath>
          <m:r>
            <w:rPr>
              <w:rFonts w:ascii="Cambria Math" w:hAnsi="Cambria Math"/>
              <w:sz w:val="34"/>
            </w:rPr>
            <m:t>x=(29.7±0.8)</m:t>
          </m:r>
          <m:r>
            <w:rPr>
              <w:rFonts w:ascii="Cambria Math" w:hAnsi="Cambria Math"/>
              <w:sz w:val="34"/>
            </w:rPr>
            <m:rPr>
              <m:sty m:val="p"/>
            </m:rPr>
            <m:t>м</m:t>
          </m:r>
          <m:r>
            <w:rPr>
              <w:rFonts w:ascii="Cambria Math" w:hAnsi="Cambria Math"/>
              <w:sz w:val="34"/>
            </w:rPr>
            <m:rPr>
              <m:sty m:val="p"/>
            </m:rPr>
            <m:t>м</m:t>
          </m:r>
        </m:oMath>
      </m:oMathPara>
    </w:p>
    <w:p w14:paraId="48000000">
      <w:pPr>
        <w:pStyle w:val="Style_2"/>
      </w:pPr>
      <w:r>
        <w:t>Выводы</w:t>
      </w:r>
    </w:p>
    <w:p w14:paraId="49000000">
      <w:pPr>
        <w:ind/>
        <w:jc w:val="both"/>
      </w:pPr>
      <w:r>
        <w:t>При обработке результатов прямых измерений необходимо учитывать случайную и систематическую погрешность. Систематическая составляющая погрешности определялась через погрешность измерительного прибора. Случайная составляющая погрешности определялась вероятностными методами. В результате вычислений относительная погрешность составила 1%, что говорит о том, что результаты измерений являются высокоточными.</w:t>
      </w:r>
    </w:p>
    <w:sectPr>
      <w:footerReference r:id="rId1" w:type="default"/>
      <w:pgSz w:h="16848" w:orient="portrait" w:w="11908"/>
      <w:pgMar w:bottom="576" w:left="576" w:right="576" w:top="576"/>
      <w:pgNumType w:fmt="decimal" w:start="1"/>
      <w:titlePg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>
    <w:pPr>
      <w:framePr w:hAnchor="margin" w:vAnchor="text" w:wrap="around" w:xAlign="center" w:y="1"/>
    </w:pPr>
    <w:r>
      <w:fldChar w:fldCharType="begin"/>
    </w:r>
    <w:r>
      <w:instrText>PAGE \* Arabic</w:instrText>
    </w:r>
    <w:r>
      <w:fldChar w:fldCharType="separate"/>
    </w:r>
    <w:r>
      <w:fldChar w:fldCharType="end"/>
    </w:r>
  </w:p>
  <w:p w14:paraId="01000000"/>
</w:ftr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after="144" w:before="144" w:line="240" w:lineRule="auto"/>
      <w:ind w:firstLine="0" w:left="0" w:right="0"/>
      <w:jc w:val="left"/>
    </w:pPr>
    <w:rPr>
      <w:rFonts w:ascii="PT Serif" w:hAnsi="PT Serif"/>
      <w:b w:val="0"/>
      <w:i w:val="0"/>
      <w:caps w:val="0"/>
      <w:color w:val="000000"/>
      <w:spacing w:val="0"/>
      <w:sz w:val="22"/>
      <w:highlight w:val="white"/>
    </w:rPr>
  </w:style>
  <w:style w:default="1" w:styleId="Style_1_ch" w:type="character">
    <w:name w:val="Normal"/>
    <w:link w:val="Style_1"/>
    <w:rPr>
      <w:rFonts w:ascii="PT Serif" w:hAnsi="PT Serif"/>
      <w:b w:val="0"/>
      <w:i w:val="0"/>
      <w:caps w:val="0"/>
      <w:color w:val="000000"/>
      <w:spacing w:val="0"/>
      <w:sz w:val="22"/>
      <w:highlight w:val="white"/>
    </w:rPr>
  </w:style>
  <w:style w:styleId="Style_4" w:type="paragraph">
    <w:name w:val="toc 2"/>
    <w:next w:val="Style_1"/>
    <w:link w:val="Style_4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4_ch" w:type="character">
    <w:name w:val="toc 2"/>
    <w:link w:val="Style_4"/>
    <w:rPr>
      <w:rFonts w:ascii="XO Thames" w:hAnsi="XO Thames"/>
      <w:sz w:val="28"/>
    </w:rPr>
  </w:style>
  <w:style w:styleId="Style_5" w:type="paragraph">
    <w:name w:val="toc 4"/>
    <w:next w:val="Style_1"/>
    <w:link w:val="Style_5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5_ch" w:type="character">
    <w:name w:val="toc 4"/>
    <w:link w:val="Style_5"/>
    <w:rPr>
      <w:rFonts w:ascii="XO Thames" w:hAnsi="XO Thames"/>
      <w:sz w:val="28"/>
    </w:rPr>
  </w:style>
  <w:style w:styleId="Style_6" w:type="paragraph">
    <w:name w:val="toc 6"/>
    <w:next w:val="Style_1"/>
    <w:link w:val="Style_6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6_ch" w:type="character">
    <w:name w:val="toc 6"/>
    <w:link w:val="Style_6"/>
    <w:rPr>
      <w:rFonts w:ascii="XO Thames" w:hAnsi="XO Thames"/>
      <w:sz w:val="28"/>
    </w:rPr>
  </w:style>
  <w:style w:styleId="Style_7" w:type="paragraph">
    <w:name w:val="toc 7"/>
    <w:next w:val="Style_1"/>
    <w:link w:val="Style_7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7_ch" w:type="character">
    <w:name w:val="toc 7"/>
    <w:link w:val="Style_7"/>
    <w:rPr>
      <w:rFonts w:ascii="XO Thames" w:hAnsi="XO Thames"/>
      <w:sz w:val="28"/>
    </w:rPr>
  </w:style>
  <w:style w:styleId="Style_8" w:type="paragraph">
    <w:name w:val="heading 3"/>
    <w:next w:val="Style_1"/>
    <w:link w:val="Style_8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8_ch" w:type="character">
    <w:name w:val="heading 3"/>
    <w:link w:val="Style_8"/>
    <w:rPr>
      <w:rFonts w:ascii="XO Thames" w:hAnsi="XO Thames"/>
      <w:b w:val="1"/>
      <w:sz w:val="26"/>
    </w:rPr>
  </w:style>
  <w:style w:styleId="Style_9" w:type="paragraph">
    <w:name w:val="toc 3"/>
    <w:next w:val="Style_1"/>
    <w:link w:val="Style_9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9_ch" w:type="character">
    <w:name w:val="toc 3"/>
    <w:link w:val="Style_9"/>
    <w:rPr>
      <w:rFonts w:ascii="XO Thames" w:hAnsi="XO Thames"/>
      <w:sz w:val="28"/>
    </w:rPr>
  </w:style>
  <w:style w:styleId="Style_10" w:type="paragraph">
    <w:name w:val="heading 5"/>
    <w:next w:val="Style_1"/>
    <w:link w:val="Style_10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0_ch" w:type="character">
    <w:name w:val="heading 5"/>
    <w:link w:val="Style_10"/>
    <w:rPr>
      <w:rFonts w:ascii="XO Thames" w:hAnsi="XO Thames"/>
      <w:b w:val="1"/>
      <w:sz w:val="22"/>
    </w:rPr>
  </w:style>
  <w:style w:styleId="Style_2" w:type="paragraph">
    <w:name w:val="heading 1"/>
    <w:next w:val="Style_1"/>
    <w:link w:val="Style_2_ch"/>
    <w:uiPriority w:val="9"/>
    <w:qFormat/>
    <w:pPr>
      <w:spacing w:after="120" w:before="120" w:line="240" w:lineRule="auto"/>
      <w:ind w:firstLine="0" w:left="0" w:right="0"/>
      <w:jc w:val="center"/>
      <w:outlineLvl w:val="0"/>
    </w:pPr>
    <w:rPr>
      <w:rFonts w:ascii="XO Thames" w:hAnsi="XO Thames"/>
      <w:b w:val="1"/>
      <w:color w:val="000000"/>
      <w:spacing w:val="0"/>
      <w:sz w:val="32"/>
    </w:rPr>
  </w:style>
  <w:style w:styleId="Style_2_ch" w:type="character">
    <w:name w:val="heading 1"/>
    <w:link w:val="Style_2"/>
    <w:rPr>
      <w:rFonts w:ascii="XO Thames" w:hAnsi="XO Thames"/>
      <w:b w:val="1"/>
      <w:color w:val="000000"/>
      <w:spacing w:val="0"/>
      <w:sz w:val="32"/>
    </w:rPr>
  </w:style>
  <w:style w:styleId="Style_11" w:type="paragraph">
    <w:name w:val="Hyperlink"/>
    <w:link w:val="Style_11_ch"/>
    <w:rPr>
      <w:color w:val="0000FF"/>
      <w:u w:val="single"/>
    </w:rPr>
  </w:style>
  <w:style w:styleId="Style_11_ch" w:type="character">
    <w:name w:val="Hyperlink"/>
    <w:link w:val="Style_11"/>
    <w:rPr>
      <w:color w:val="0000FF"/>
      <w:u w:val="single"/>
    </w:rPr>
  </w:style>
  <w:style w:styleId="Style_12" w:type="paragraph">
    <w:name w:val="Footnote"/>
    <w:link w:val="Style_12_ch"/>
    <w:pPr>
      <w:ind w:firstLine="851" w:left="0"/>
      <w:jc w:val="both"/>
    </w:pPr>
    <w:rPr>
      <w:rFonts w:ascii="XO Thames" w:hAnsi="XO Thames"/>
      <w:sz w:val="22"/>
    </w:rPr>
  </w:style>
  <w:style w:styleId="Style_12_ch" w:type="character">
    <w:name w:val="Footnote"/>
    <w:link w:val="Style_12"/>
    <w:rPr>
      <w:rFonts w:ascii="XO Thames" w:hAnsi="XO Thames"/>
      <w:sz w:val="22"/>
    </w:rPr>
  </w:style>
  <w:style w:styleId="Style_13" w:type="paragraph">
    <w:name w:val="toc 1"/>
    <w:next w:val="Style_1"/>
    <w:link w:val="Style_13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3_ch" w:type="character">
    <w:name w:val="toc 1"/>
    <w:link w:val="Style_13"/>
    <w:rPr>
      <w:rFonts w:ascii="XO Thames" w:hAnsi="XO Thames"/>
      <w:b w:val="1"/>
      <w:sz w:val="28"/>
    </w:rPr>
  </w:style>
  <w:style w:styleId="Style_14" w:type="paragraph">
    <w:name w:val="Header and Footer"/>
    <w:link w:val="Style_14_ch"/>
    <w:pPr>
      <w:spacing w:line="240" w:lineRule="auto"/>
      <w:ind/>
      <w:jc w:val="both"/>
    </w:pPr>
    <w:rPr>
      <w:rFonts w:ascii="XO Thames" w:hAnsi="XO Thames"/>
      <w:sz w:val="20"/>
    </w:rPr>
  </w:style>
  <w:style w:styleId="Style_14_ch" w:type="character">
    <w:name w:val="Header and Footer"/>
    <w:link w:val="Style_14"/>
    <w:rPr>
      <w:rFonts w:ascii="XO Thames" w:hAnsi="XO Thames"/>
      <w:sz w:val="20"/>
    </w:rPr>
  </w:style>
  <w:style w:styleId="Style_15" w:type="paragraph">
    <w:name w:val="toc 9"/>
    <w:next w:val="Style_1"/>
    <w:link w:val="Style_1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5_ch" w:type="character">
    <w:name w:val="toc 9"/>
    <w:link w:val="Style_15"/>
    <w:rPr>
      <w:rFonts w:ascii="XO Thames" w:hAnsi="XO Thames"/>
      <w:sz w:val="28"/>
    </w:rPr>
  </w:style>
  <w:style w:styleId="Style_16" w:type="paragraph">
    <w:name w:val="toc 8"/>
    <w:next w:val="Style_1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toc 5"/>
    <w:next w:val="Style_1"/>
    <w:link w:val="Style_1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7_ch" w:type="character">
    <w:name w:val="toc 5"/>
    <w:link w:val="Style_17"/>
    <w:rPr>
      <w:rFonts w:ascii="XO Thames" w:hAnsi="XO Thames"/>
      <w:sz w:val="28"/>
    </w:rPr>
  </w:style>
  <w:style w:styleId="Style_18" w:type="paragraph">
    <w:name w:val="Subtitle"/>
    <w:next w:val="Style_1"/>
    <w:link w:val="Style_1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8_ch" w:type="character">
    <w:name w:val="Subtitle"/>
    <w:link w:val="Style_18"/>
    <w:rPr>
      <w:rFonts w:ascii="XO Thames" w:hAnsi="XO Thames"/>
      <w:i w:val="1"/>
      <w:sz w:val="24"/>
    </w:rPr>
  </w:style>
  <w:style w:styleId="Style_19" w:type="paragraph">
    <w:name w:val="Title"/>
    <w:next w:val="Style_1"/>
    <w:link w:val="Style_1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9_ch" w:type="character">
    <w:name w:val="Title"/>
    <w:link w:val="Style_19"/>
    <w:rPr>
      <w:rFonts w:ascii="XO Thames" w:hAnsi="XO Thames"/>
      <w:b w:val="1"/>
      <w:caps w:val="1"/>
      <w:sz w:val="40"/>
    </w:rPr>
  </w:style>
  <w:style w:styleId="Style_20" w:type="paragraph">
    <w:name w:val="heading 4"/>
    <w:next w:val="Style_1"/>
    <w:link w:val="Style_2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0_ch" w:type="character">
    <w:name w:val="heading 4"/>
    <w:link w:val="Style_20"/>
    <w:rPr>
      <w:rFonts w:ascii="XO Thames" w:hAnsi="XO Thames"/>
      <w:b w:val="1"/>
      <w:sz w:val="24"/>
    </w:rPr>
  </w:style>
  <w:style w:styleId="Style_3" w:type="paragraph">
    <w:name w:val="heading 2"/>
    <w:next w:val="Style_1"/>
    <w:link w:val="Style_3_ch"/>
    <w:uiPriority w:val="9"/>
    <w:qFormat/>
    <w:pPr>
      <w:spacing w:after="120" w:before="120" w:line="240" w:lineRule="auto"/>
      <w:ind w:firstLine="0" w:left="0" w:right="0"/>
      <w:jc w:val="center"/>
      <w:outlineLvl w:val="1"/>
    </w:pPr>
    <w:rPr>
      <w:rFonts w:ascii="XO Thames" w:hAnsi="XO Thames"/>
      <w:b w:val="1"/>
      <w:color w:val="000000"/>
      <w:spacing w:val="0"/>
      <w:sz w:val="26"/>
    </w:rPr>
  </w:style>
  <w:style w:styleId="Style_3_ch" w:type="character">
    <w:name w:val="heading 2"/>
    <w:link w:val="Style_3"/>
    <w:rPr>
      <w:rFonts w:ascii="XO Thames" w:hAnsi="XO Thames"/>
      <w:b w:val="1"/>
      <w:color w:val="000000"/>
      <w:spacing w:val="0"/>
      <w:sz w:val="26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3" Target="stylesWithEffects.xml" Type="http://schemas.microsoft.com/office/2007/relationships/stylesWithEffects"/>
  <Relationship Id="rId11" Target="settings.xml" Type="http://schemas.openxmlformats.org/officeDocument/2006/relationships/settings"/>
  <Relationship Id="rId10" Target="fontTable.xml" Type="http://schemas.openxmlformats.org/officeDocument/2006/relationships/fontTable"/>
  <Relationship Id="rId15" Target="theme/theme1.xml" Type="http://schemas.openxmlformats.org/officeDocument/2006/relationships/theme"/>
  <Relationship Id="rId9" Target="media/8.png" Type="http://schemas.openxmlformats.org/officeDocument/2006/relationships/image"/>
  <Relationship Id="rId8" Target="media/7.png" Type="http://schemas.openxmlformats.org/officeDocument/2006/relationships/image"/>
  <Relationship Id="rId7" Target="media/6.png" Type="http://schemas.openxmlformats.org/officeDocument/2006/relationships/image"/>
  <Relationship Id="rId14" Target="webSettings.xml" Type="http://schemas.openxmlformats.org/officeDocument/2006/relationships/webSettings"/>
  <Relationship Id="rId6" Target="media/5.png" Type="http://schemas.openxmlformats.org/officeDocument/2006/relationships/image"/>
  <Relationship Id="rId5" Target="media/4.png" Type="http://schemas.openxmlformats.org/officeDocument/2006/relationships/image"/>
  <Relationship Id="rId4" Target="media/3.png" Type="http://schemas.openxmlformats.org/officeDocument/2006/relationships/image"/>
  <Relationship Id="rId12" Target="styles.xml" Type="http://schemas.openxmlformats.org/officeDocument/2006/relationships/styles"/>
  <Relationship Id="rId3" Target="media/2.png" Type="http://schemas.openxmlformats.org/officeDocument/2006/relationships/image"/>
  <Relationship Id="rId2" Target="media/1.png" Type="http://schemas.openxmlformats.org/officeDocument/2006/relationships/image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MyOffice-CoreFramework-Linux/29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2023-10-05T19:55:26Z</dcterms:modified>
</cp:coreProperties>
</file>