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ph_tender_name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ph_text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ph_receive_time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ph_deliver_point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其他要求：ph_project_text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ph_license</w:t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ph_finance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ph_illegal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ph_reputation_requirements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3.7 其他要求：ph_bidder_text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ph_documents_obtain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ph_bid_ddl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ph_bid_submission</w:t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ph_other_platform</w:t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 xml:space="preserve">ph_electronic_bidding_rules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ph_initiator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ph_contacts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ph_contact_number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ph_email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ph_address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ph_qualification_review_time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ph_bidding_start_time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ph_bidding_end_time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ph_publication_time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ph_create_time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