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2"/>
          <w:szCs w:val="32"/>
        </w:rPr>
        <w:t xml:space="preserve">MINUTA DE REUNIÓN</w:t>
      </w:r>
    </w:p>
    <w:p>
      <w:pPr>
        <w:spacing w:after="20"/>
      </w:pPr>
      <w:r>
        <w:rPr>
          <w:rFonts w:ascii="Arial" w:cs="Arial" w:eastAsia="Arial" w:hAnsi="Arial"/>
          <w:color w:val="4A4A4A"/>
          <w:sz w:val="22"/>
          <w:szCs w:val="22"/>
        </w:rPr>
        <w:t xml:space="preserve">NovaTech Solutions — Sesión de Directivos</w:t>
      </w:r>
    </w:p>
    <w:p>
      <w:pPr>
        <w:pBdr>
          <w:bottom w:val="single" w:color="1F3864" w:sz="6" w:space="4"/>
        </w:pBdr>
        <w:spacing w:after="280"/>
      </w:pPr>
      <w:r>
        <w:rPr>
          <w:rFonts w:ascii="Arial" w:cs="Arial" w:eastAsia="Arial" w:hAnsi="Arial"/>
          <w:i/>
          <w:iCs/>
          <w:color w:val="888888"/>
          <w:sz w:val="18"/>
          <w:szCs w:val="18"/>
        </w:rPr>
        <w:t xml:space="preserve">Confidencial</w:t>
      </w:r>
    </w:p>
    <w:p>
      <w:pPr>
        <w:pStyle w:val="Heading1"/>
        <w:pBdr>
          <w:bottom w:val="single" w:color="1F3864" w:sz="4" w:space="4"/>
        </w:pBdr>
        <w:spacing w:after="100" w:before="280"/>
      </w:pPr>
      <w:r>
        <w:rPr>
          <w:rFonts w:ascii="Arial" w:cs="Arial" w:eastAsia="Arial" w:hAnsi="Arial"/>
          <w:b/>
          <w:bCs/>
          <w:color w:val="1F3864"/>
          <w:sz w:val="26"/>
          <w:szCs w:val="26"/>
        </w:rPr>
        <w:t xml:space="preserve">Datos generales</w:t>
      </w:r>
    </w:p>
    <w:p>
      <w:pPr>
        <w:spacing w:after="80"/>
      </w:pPr>
      <w:r>
        <w:rPr>
          <w:rFonts w:ascii="Arial" w:cs="Arial" w:eastAsia="Arial" w:hAnsi="Arial"/>
          <w:b/>
          <w:bCs/>
          <w:sz w:val="20"/>
          <w:szCs w:val="20"/>
        </w:rPr>
        <w:t xml:space="preserve">Fecha: </w:t>
      </w:r>
      <w:r>
        <w:rPr>
          <w:rFonts w:ascii="Arial" w:cs="Arial" w:eastAsia="Arial" w:hAnsi="Arial"/>
          <w:color w:val="4A4A4A"/>
          <w:sz w:val="20"/>
          <w:szCs w:val="20"/>
        </w:rPr>
        <w:t xml:space="preserve">Miércoles 13 de mayo de 2026, 9:00 a 11:15 horas</w:t>
      </w:r>
    </w:p>
    <w:p>
      <w:pPr>
        <w:spacing w:after="80"/>
      </w:pPr>
      <w:r>
        <w:rPr>
          <w:rFonts w:ascii="Arial" w:cs="Arial" w:eastAsia="Arial" w:hAnsi="Arial"/>
          <w:b/>
          <w:bCs/>
          <w:sz w:val="20"/>
          <w:szCs w:val="20"/>
        </w:rPr>
        <w:t xml:space="preserve">Lugar: </w:t>
      </w:r>
      <w:r>
        <w:rPr>
          <w:rFonts w:ascii="Arial" w:cs="Arial" w:eastAsia="Arial" w:hAnsi="Arial"/>
          <w:color w:val="4A4A4A"/>
          <w:sz w:val="20"/>
          <w:szCs w:val="20"/>
        </w:rPr>
        <w:t xml:space="preserve">Sala Consejo, piso 12, Torre Reforma 412</w:t>
      </w:r>
    </w:p>
    <w:p>
      <w:pPr>
        <w:spacing w:after="80"/>
      </w:pPr>
      <w:r>
        <w:rPr>
          <w:rFonts w:ascii="Arial" w:cs="Arial" w:eastAsia="Arial" w:hAnsi="Arial"/>
          <w:b/>
          <w:bCs/>
          <w:sz w:val="20"/>
          <w:szCs w:val="20"/>
        </w:rPr>
        <w:t xml:space="preserve">Convocó: </w:t>
      </w:r>
      <w:r>
        <w:rPr>
          <w:rFonts w:ascii="Arial" w:cs="Arial" w:eastAsia="Arial" w:hAnsi="Arial"/>
          <w:color w:val="4A4A4A"/>
          <w:sz w:val="20"/>
          <w:szCs w:val="20"/>
        </w:rPr>
        <w:t xml:space="preserve">Rodrigo Leal Ibarra, CEO</w:t>
      </w:r>
    </w:p>
    <w:p>
      <w:pPr>
        <w:spacing w:after="80"/>
      </w:pPr>
      <w:r>
        <w:rPr>
          <w:rFonts w:ascii="Arial" w:cs="Arial" w:eastAsia="Arial" w:hAnsi="Arial"/>
          <w:b/>
          <w:bCs/>
          <w:sz w:val="20"/>
          <w:szCs w:val="20"/>
        </w:rPr>
        <w:t xml:space="preserve">Redactó: </w:t>
      </w:r>
      <w:r>
        <w:rPr>
          <w:rFonts w:ascii="Arial" w:cs="Arial" w:eastAsia="Arial" w:hAnsi="Arial"/>
          <w:color w:val="4A4A4A"/>
          <w:sz w:val="20"/>
          <w:szCs w:val="20"/>
        </w:rPr>
        <w:t xml:space="preserve">Ana Sofía Campos, Chief of Staff</w:t>
      </w:r>
    </w:p>
    <w:p>
      <w:pPr>
        <w:spacing w:after="20"/>
      </w:pPr>
      <w:r>
        <w:rPr>
          <w:rFonts w:ascii="Arial" w:cs="Arial" w:eastAsia="Arial" w:hAnsi="Arial"/>
          <w:b/>
          <w:bCs/>
          <w:sz w:val="20"/>
          <w:szCs w:val="20"/>
        </w:rPr>
        <w:t xml:space="preserve">Asistentes: </w:t>
      </w:r>
      <w:r>
        <w:rPr>
          <w:rFonts w:ascii="Arial" w:cs="Arial" w:eastAsia="Arial" w:hAnsi="Arial"/>
          <w:color w:val="4A4A4A"/>
          <w:sz w:val="20"/>
          <w:szCs w:val="20"/>
        </w:rPr>
        <w:t xml:space="preserve">Rodrigo Leal Ibarra (CEO), Claudia Venegas (CFO), Martín Espinoza (CTO), Dra. Lucía Farías (Board), Lic. Jorge Soto (Board), Ana Sofía Campos (Chief of Staff)</w:t>
      </w:r>
    </w:p>
    <w:p>
      <w:pPr>
        <w:pStyle w:val="Heading1"/>
        <w:pBdr>
          <w:bottom w:val="single" w:color="1F3864" w:sz="4" w:space="4"/>
        </w:pBdr>
        <w:spacing w:after="100" w:before="280"/>
      </w:pPr>
      <w:r>
        <w:rPr>
          <w:rFonts w:ascii="Arial" w:cs="Arial" w:eastAsia="Arial" w:hAnsi="Arial"/>
          <w:b/>
          <w:bCs/>
          <w:color w:val="1F3864"/>
          <w:sz w:val="26"/>
          <w:szCs w:val="26"/>
        </w:rPr>
        <w:t xml:space="preserve">Contexto de la sesión</w:t>
      </w:r>
    </w:p>
    <w:p>
      <w:pPr>
        <w:spacing w:after="100"/>
      </w:pPr>
      <w:r>
        <w:rPr>
          <w:rFonts w:ascii="Arial" w:cs="Arial" w:eastAsia="Arial" w:hAnsi="Arial"/>
          <w:color w:val="4A4A4A"/>
          <w:sz w:val="20"/>
          <w:szCs w:val="20"/>
        </w:rPr>
        <w:t xml:space="preserve">La reunión fue convocada para revisar el estado del proceso de levantamiento Serie A, con particular atención a las conversaciones activas con dos fondos de inversión y para alinear al equipo directivo sobre la narrativa financiera antes de las sesiones de due diligence programadas para junio.</w:t>
      </w:r>
    </w:p>
    <w:p>
      <w:pPr>
        <w:spacing w:after="100"/>
      </w:pPr>
      <w:r>
        <w:rPr>
          <w:rFonts w:ascii="Arial" w:cs="Arial" w:eastAsia="Arial" w:hAnsi="Arial"/>
          <w:color w:val="4A4A4A"/>
          <w:sz w:val="20"/>
          <w:szCs w:val="20"/>
        </w:rPr>
        <w:t xml:space="preserve">Claudia Venegas presentó el estado de tesorería actual y las proyecciones a 18 meses bajo dos escenarios: cierre exitoso de la ronda antes del 30 de julio, y escenario de extensión de runway por 6 meses adicionales mediante reducción selectiva de gasto.</w:t>
      </w:r>
    </w:p>
    <w:p>
      <w:pPr>
        <w:pStyle w:val="Heading1"/>
        <w:pBdr>
          <w:bottom w:val="single" w:color="1F3864" w:sz="4" w:space="4"/>
        </w:pBdr>
        <w:spacing w:after="100" w:before="280"/>
      </w:pPr>
      <w:r>
        <w:rPr>
          <w:rFonts w:ascii="Arial" w:cs="Arial" w:eastAsia="Arial" w:hAnsi="Arial"/>
          <w:b/>
          <w:bCs/>
          <w:color w:val="1F3864"/>
          <w:sz w:val="26"/>
          <w:szCs w:val="26"/>
        </w:rPr>
        <w:t xml:space="preserve">Temas tratados</w:t>
      </w:r>
    </w:p>
    <w:p>
      <w:pPr>
        <w:pStyle w:val="Heading2"/>
        <w:spacing w:after="80" w:before="200"/>
      </w:pPr>
      <w:r>
        <w:rPr>
          <w:rFonts w:ascii="Arial" w:cs="Arial" w:eastAsia="Arial" w:hAnsi="Arial"/>
          <w:b/>
          <w:bCs/>
          <w:color w:val="1F3864"/>
          <w:sz w:val="22"/>
          <w:szCs w:val="22"/>
        </w:rPr>
        <w:t xml:space="preserve">1. Estado del proceso Serie A</w:t>
      </w:r>
    </w:p>
    <w:p>
      <w:pPr>
        <w:spacing w:after="100"/>
      </w:pPr>
      <w:r>
        <w:rPr>
          <w:rFonts w:ascii="Arial" w:cs="Arial" w:eastAsia="Arial" w:hAnsi="Arial"/>
          <w:color w:val="4A4A4A"/>
          <w:sz w:val="20"/>
          <w:szCs w:val="20"/>
        </w:rPr>
        <w:t xml:space="preserve">Rodrigo informó que existen dos fondos con conversación activa. Grupo Inversión Norte manifestó interés formal en el ticket de 2.5 millones de dólares y solicitó acceso al data room antes del 22 de mayo. La segunda conversación, con María Escobedo de Capital Semilla MX, está en etapa más temprana pero con alta receptividad al modelo de negocio; está pendiente el envío de materiales preliminares y la firma del acuerdo de confidencialidad.</w:t>
      </w:r>
    </w:p>
    <w:p>
      <w:pPr>
        <w:spacing w:after="100"/>
      </w:pPr>
      <w:r>
        <w:rPr>
          <w:rFonts w:ascii="Arial" w:cs="Arial" w:eastAsia="Arial" w:hAnsi="Arial"/>
          <w:color w:val="4A4A4A"/>
          <w:sz w:val="20"/>
          <w:szCs w:val="20"/>
        </w:rPr>
        <w:t xml:space="preserve">El board señaló que las proyecciones financieras presentadas en la versión actual del deck no reflejan la aceleración de los últimos dos trimestres. Se acordó actualizar el modelo antes de cualquier sesión de due diligence.</w:t>
      </w:r>
    </w:p>
    <w:p>
      <w:pPr>
        <w:pStyle w:val="Heading2"/>
        <w:spacing w:after="80" w:before="200"/>
      </w:pPr>
      <w:r>
        <w:rPr>
          <w:rFonts w:ascii="Arial" w:cs="Arial" w:eastAsia="Arial" w:hAnsi="Arial"/>
          <w:b/>
          <w:bCs/>
          <w:color w:val="1F3864"/>
          <w:sz w:val="22"/>
          <w:szCs w:val="22"/>
        </w:rPr>
        <w:t xml:space="preserve">2. Valoración y términos</w:t>
      </w:r>
    </w:p>
    <w:p>
      <w:pPr>
        <w:spacing w:after="100"/>
      </w:pPr>
      <w:r>
        <w:rPr>
          <w:rFonts w:ascii="Arial" w:cs="Arial" w:eastAsia="Arial" w:hAnsi="Arial"/>
          <w:color w:val="4A4A4A"/>
          <w:sz w:val="20"/>
          <w:szCs w:val="20"/>
        </w:rPr>
        <w:t xml:space="preserve">Se revisó el rango de valoración propuesto. La CFO presentó tres escenarios de dilución basados en tickets entre 1.8 y 3.2 millones. El board recomendó no ceder por debajo de la valoración pre-money de 9.5 millones de dólares sin una justificación estratégica clara.</w:t>
      </w:r>
    </w:p>
    <w:p>
      <w:pPr>
        <w:spacing w:after="100"/>
      </w:pPr>
      <w:r>
        <w:rPr>
          <w:rFonts w:ascii="Arial" w:cs="Arial" w:eastAsia="Arial" w:hAnsi="Arial"/>
          <w:color w:val="4A4A4A"/>
          <w:sz w:val="20"/>
          <w:szCs w:val="20"/>
        </w:rPr>
        <w:t xml:space="preserve">Martín Espinoza alertó sobre una cláusula de preferencia de liquidación en el term sheet preliminar de Grupo Inversión Norte que requiere revisión legal antes de avanzar. Se instruyó contactar al despacho jurídico externo esta semana.</w:t>
      </w:r>
    </w:p>
    <w:p>
      <w:pPr>
        <w:pStyle w:val="Heading2"/>
        <w:spacing w:after="80" w:before="200"/>
      </w:pPr>
      <w:r>
        <w:rPr>
          <w:rFonts w:ascii="Arial" w:cs="Arial" w:eastAsia="Arial" w:hAnsi="Arial"/>
          <w:b/>
          <w:bCs/>
          <w:color w:val="1F3864"/>
          <w:sz w:val="22"/>
          <w:szCs w:val="22"/>
        </w:rPr>
        <w:t xml:space="preserve">3. Gobernanza post-ronda</w:t>
      </w:r>
    </w:p>
    <w:p>
      <w:pPr>
        <w:spacing w:after="100"/>
      </w:pPr>
      <w:r>
        <w:rPr>
          <w:rFonts w:ascii="Arial" w:cs="Arial" w:eastAsia="Arial" w:hAnsi="Arial"/>
          <w:color w:val="4A4A4A"/>
          <w:sz w:val="20"/>
          <w:szCs w:val="20"/>
        </w:rPr>
        <w:t xml:space="preserve">Se discutió la composición del consejo posterior al cierre. El board indicó su preferencia por mantener tres asientos fundadores y no más de dos asientos para nuevos inversionistas en esta ronda.</w:t>
      </w:r>
    </w:p>
    <w:p>
      <w:pPr>
        <w:pStyle w:val="Heading1"/>
        <w:pBdr>
          <w:bottom w:val="single" w:color="1F3864" w:sz="4" w:space="4"/>
        </w:pBdr>
        <w:spacing w:after="100" w:before="280"/>
      </w:pPr>
      <w:r>
        <w:rPr>
          <w:rFonts w:ascii="Arial" w:cs="Arial" w:eastAsia="Arial" w:hAnsi="Arial"/>
          <w:b/>
          <w:bCs/>
          <w:color w:val="1F3864"/>
          <w:sz w:val="26"/>
          <w:szCs w:val="26"/>
        </w:rPr>
        <w:t xml:space="preserve">Acuerdos y pendientes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880"/>
        <w:gridCol w:w="2280"/>
      </w:tblGrid>
      <w:tr>
        <w:tc>
          <w:tcPr>
            <w:tcW w:type="dxa" w:w="420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Acción</w:t>
            </w:r>
          </w:p>
        </w:tc>
        <w:tc>
          <w:tcPr>
            <w:tcW w:type="dxa" w:w="288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Responsable</w:t>
            </w:r>
          </w:p>
        </w:tc>
        <w:tc>
          <w:tcPr>
            <w:tcW w:type="dxa" w:w="228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Fecha límite</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Enviar materiales preliminares y NDA a María Escobedo / Capital Semilla MX</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Rodrigo Leal / Ana Sofía</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16 mayo</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Preparar acceso a data room para Grupo Inversión Norte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Martín Espinoza</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21 mayo</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Actualizar proyecciones financieras y rediseñar sección correspondiente del deck</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Claudia Venegas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23 mayo</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Enviar term sheet de Grupo Inversión Norte al despacho jurídico para revisión de cláusula de liquidación</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Ana Sofía Campos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15 mayo</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Confirmar disponibilidad para sesión de due diligence con Grupo Inversión Norte (semana del 9 de junio)</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Rodrigo Leal</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4A4A"/>
                <w:sz w:val="18"/>
                <w:szCs w:val="18"/>
              </w:rPr>
              <w:t xml:space="preserve">24 mayo</w:t>
            </w:r>
          </w:p>
        </w:tc>
      </w:tr>
    </w:tbl>
    <w:p>
      <w:pPr>
        <w:spacing w:after="60" w:before="200"/>
      </w:pPr>
      <w:r>
        <w:rPr>
          <w:rFonts w:ascii="Arial" w:cs="Arial" w:eastAsia="Arial" w:hAnsi="Arial"/>
          <w:b/>
          <w:bCs/>
          <w:sz w:val="20"/>
          <w:szCs w:val="20"/>
        </w:rPr>
        <w:t xml:space="preserve">Próxima sesión de seguimiento: </w:t>
      </w:r>
      <w:r>
        <w:rPr>
          <w:rFonts w:ascii="Arial" w:cs="Arial" w:eastAsia="Arial" w:hAnsi="Arial"/>
          <w:color w:val="4A4A4A"/>
          <w:sz w:val="20"/>
          <w:szCs w:val="20"/>
        </w:rPr>
        <w:t xml:space="preserve">Martes 27 de mayo, 8:30 horas. Rodrigo enviará convocatoria.</w:t>
      </w:r>
    </w:p>
    <w:p>
      <w:pPr>
        <w:spacing w:after="60"/>
      </w:pPr>
      <w:r>
        <w:rPr>
          <w:rFonts w:ascii="Arial" w:cs="Arial" w:eastAsia="Arial" w:hAnsi="Arial"/>
          <w:i/>
          <w:iCs/>
          <w:color w:val="888888"/>
          <w:sz w:val="18"/>
          <w:szCs w:val="18"/>
        </w:rPr>
        <w:t xml:space="preserve">Minuta aprobada por: Rodrigo Leal Ibarra | Ana Sofía Campos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2026-05-25T18:23:09.558Z</dcterms:created>
  <dcterms:modified xsi:type="dcterms:W3CDTF">2026-05-25T18:23:09.562Z</dcterms:modified>
</cp:coreProperties>
</file>

<file path=docProps/custom.xml><?xml version="1.0" encoding="utf-8"?>
<Properties xmlns="http://schemas.openxmlformats.org/officeDocument/2006/custom-properties" xmlns:vt="http://schemas.openxmlformats.org/officeDocument/2006/docPropsVTypes"/>
</file>