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4F72"/>
          <w:sz w:val="30"/>
          <w:szCs w:val="30"/>
        </w:rPr>
        <w:t xml:space="preserve">REPORTE DE AVANCE MENSUAL</w:t>
      </w:r>
    </w:p>
    <w:p>
      <w:pPr>
        <w:spacing w:after="20"/>
      </w:pPr>
      <w:r>
        <w:rPr>
          <w:rFonts w:ascii="Arial" w:cs="Arial" w:eastAsia="Arial" w:hAnsi="Arial"/>
          <w:color w:val="4A4A4A"/>
          <w:sz w:val="22"/>
          <w:szCs w:val="22"/>
        </w:rPr>
        <w:t xml:space="preserve">Torre Residencial Cumbres — Mayo 2026</w:t>
      </w:r>
    </w:p>
    <w:p>
      <w:pPr>
        <w:pBdr>
          <w:bottom w:val="single" w:color="1B4F72" w:sz="6" w:space="4"/>
        </w:pBdr>
        <w:spacing w:after="280"/>
      </w:pPr>
      <w:r>
        <w:rPr>
          <w:rFonts w:ascii="Arial" w:cs="Arial" w:eastAsia="Arial" w:hAnsi="Arial"/>
          <w:i/>
          <w:iCs/>
          <w:color w:val="888888"/>
          <w:sz w:val="18"/>
          <w:szCs w:val="18"/>
        </w:rPr>
        <w:t xml:space="preserve">Desarrollos Pacífico S.A. de C.V.  |  Uso interno — Confidencial</w:t>
      </w:r>
    </w:p>
    <w:p>
      <w:pPr>
        <w:pStyle w:val="Heading1"/>
        <w:pBdr>
          <w:bottom w:val="single" w:color="1B4F72" w:sz="4" w:space="4"/>
        </w:pBdr>
        <w:spacing w:after="100" w:before="280"/>
      </w:pPr>
      <w:r>
        <w:rPr>
          <w:rFonts w:ascii="Arial" w:cs="Arial" w:eastAsia="Arial" w:hAnsi="Arial"/>
          <w:b/>
          <w:bCs/>
          <w:color w:val="1B4F72"/>
          <w:sz w:val="26"/>
          <w:szCs w:val="26"/>
        </w:rPr>
        <w:t xml:space="preserve">Datos del proyecto</w:t>
      </w:r>
    </w:p>
    <w:p>
      <w:pPr>
        <w:spacing w:after="80"/>
      </w:pPr>
      <w:r>
        <w:rPr>
          <w:rFonts w:ascii="Arial" w:cs="Arial" w:eastAsia="Arial" w:hAnsi="Arial"/>
          <w:b/>
          <w:bCs/>
          <w:sz w:val="20"/>
          <w:szCs w:val="20"/>
        </w:rPr>
        <w:t xml:space="preserve">Proyecto: </w:t>
      </w:r>
      <w:r>
        <w:rPr>
          <w:rFonts w:ascii="Arial" w:cs="Arial" w:eastAsia="Arial" w:hAnsi="Arial"/>
          <w:color w:val="4A4A4A"/>
          <w:sz w:val="20"/>
          <w:szCs w:val="20"/>
        </w:rPr>
        <w:t xml:space="preserve">Torre Residencial Cumbres — 22 niveles, 180 departamentos</w:t>
      </w:r>
    </w:p>
    <w:p>
      <w:pPr>
        <w:spacing w:after="80"/>
      </w:pPr>
      <w:r>
        <w:rPr>
          <w:rFonts w:ascii="Arial" w:cs="Arial" w:eastAsia="Arial" w:hAnsi="Arial"/>
          <w:b/>
          <w:bCs/>
          <w:sz w:val="20"/>
          <w:szCs w:val="20"/>
        </w:rPr>
        <w:t xml:space="preserve">Ubicación: </w:t>
      </w:r>
      <w:r>
        <w:rPr>
          <w:rFonts w:ascii="Arial" w:cs="Arial" w:eastAsia="Arial" w:hAnsi="Arial"/>
          <w:color w:val="4A4A4A"/>
          <w:sz w:val="20"/>
          <w:szCs w:val="20"/>
        </w:rPr>
        <w:t xml:space="preserve">Av. Insurgentes Sur 3200, colonia Pedregal, CDMX</w:t>
      </w:r>
    </w:p>
    <w:p>
      <w:pPr>
        <w:spacing w:after="80"/>
      </w:pPr>
      <w:r>
        <w:rPr>
          <w:rFonts w:ascii="Arial" w:cs="Arial" w:eastAsia="Arial" w:hAnsi="Arial"/>
          <w:b/>
          <w:bCs/>
          <w:sz w:val="20"/>
          <w:szCs w:val="20"/>
        </w:rPr>
        <w:t xml:space="preserve">Director de obra: </w:t>
      </w:r>
      <w:r>
        <w:rPr>
          <w:rFonts w:ascii="Arial" w:cs="Arial" w:eastAsia="Arial" w:hAnsi="Arial"/>
          <w:color w:val="4A4A4A"/>
          <w:sz w:val="20"/>
          <w:szCs w:val="20"/>
        </w:rPr>
        <w:t xml:space="preserve">Ing. Héctor Rangel Bravo</w:t>
      </w:r>
    </w:p>
    <w:p>
      <w:pPr>
        <w:spacing w:after="80"/>
      </w:pPr>
      <w:r>
        <w:rPr>
          <w:rFonts w:ascii="Arial" w:cs="Arial" w:eastAsia="Arial" w:hAnsi="Arial"/>
          <w:b/>
          <w:bCs/>
          <w:sz w:val="20"/>
          <w:szCs w:val="20"/>
        </w:rPr>
        <w:t xml:space="preserve">Período reportado: </w:t>
      </w:r>
      <w:r>
        <w:rPr>
          <w:rFonts w:ascii="Arial" w:cs="Arial" w:eastAsia="Arial" w:hAnsi="Arial"/>
          <w:color w:val="4A4A4A"/>
          <w:sz w:val="20"/>
          <w:szCs w:val="20"/>
        </w:rPr>
        <w:t xml:space="preserve">1 al 31 de mayo de 2026</w:t>
      </w:r>
    </w:p>
    <w:p>
      <w:pPr>
        <w:spacing w:after="80"/>
      </w:pPr>
      <w:r>
        <w:rPr>
          <w:rFonts w:ascii="Arial" w:cs="Arial" w:eastAsia="Arial" w:hAnsi="Arial"/>
          <w:b/>
          <w:bCs/>
          <w:sz w:val="20"/>
          <w:szCs w:val="20"/>
        </w:rPr>
        <w:t xml:space="preserve">Fecha de inicio: </w:t>
      </w:r>
      <w:r>
        <w:rPr>
          <w:rFonts w:ascii="Arial" w:cs="Arial" w:eastAsia="Arial" w:hAnsi="Arial"/>
          <w:color w:val="4A4A4A"/>
          <w:sz w:val="20"/>
          <w:szCs w:val="20"/>
        </w:rPr>
        <w:t xml:space="preserve">3 de febrero de 2025</w:t>
      </w:r>
    </w:p>
    <w:p>
      <w:pPr>
        <w:spacing w:after="80"/>
      </w:pPr>
      <w:r>
        <w:rPr>
          <w:rFonts w:ascii="Arial" w:cs="Arial" w:eastAsia="Arial" w:hAnsi="Arial"/>
          <w:b/>
          <w:bCs/>
          <w:sz w:val="20"/>
          <w:szCs w:val="20"/>
        </w:rPr>
        <w:t xml:space="preserve">Fecha de entrega comprometida: </w:t>
      </w:r>
      <w:r>
        <w:rPr>
          <w:rFonts w:ascii="Arial" w:cs="Arial" w:eastAsia="Arial" w:hAnsi="Arial"/>
          <w:color w:val="4A4A4A"/>
          <w:sz w:val="20"/>
          <w:szCs w:val="20"/>
        </w:rPr>
        <w:t xml:space="preserve">15 de noviembre de 2026</w:t>
      </w:r>
    </w:p>
    <w:p>
      <w:pPr>
        <w:pStyle w:val="Heading1"/>
        <w:pBdr>
          <w:bottom w:val="single" w:color="1B4F72" w:sz="4" w:space="4"/>
        </w:pBdr>
        <w:spacing w:after="100" w:before="280"/>
      </w:pPr>
      <w:r>
        <w:rPr>
          <w:rFonts w:ascii="Arial" w:cs="Arial" w:eastAsia="Arial" w:hAnsi="Arial"/>
          <w:b/>
          <w:bCs/>
          <w:color w:val="1B4F72"/>
          <w:sz w:val="26"/>
          <w:szCs w:val="26"/>
        </w:rPr>
        <w:t xml:space="preserve">Avance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Frente de trabajo</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Avance programado</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Avance real</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Semáforo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Cimentación y estructura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100%</w:t>
            </w:r>
          </w:p>
        </w:tc>
        <w:tc>
          <w:tcPr>
            <w:tcW w:type="dxa" w:w="1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4A4A4A"/>
                <w:sz w:val="18"/>
                <w:szCs w:val="18"/>
              </w:rPr>
              <w:t xml:space="preserve">Verde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Fachada y obra exterior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41%</w:t>
            </w:r>
          </w:p>
        </w:tc>
        <w:tc>
          <w:tcPr>
            <w:tcW w:type="dxa" w:w="18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4A4A4A"/>
                <w:sz w:val="18"/>
                <w:szCs w:val="18"/>
              </w:rPr>
              <w:t xml:space="preserve">Amarillo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Instalaciones hidráulicas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52%</w:t>
            </w:r>
          </w:p>
        </w:tc>
        <w:tc>
          <w:tcPr>
            <w:tcW w:type="dxa" w:w="18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4A4A4A"/>
                <w:sz w:val="18"/>
                <w:szCs w:val="18"/>
              </w:rPr>
              <w:t xml:space="preserve">Rojo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Instalaciones eléctricas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58%</w:t>
            </w:r>
          </w:p>
        </w:tc>
        <w:tc>
          <w:tcPr>
            <w:tcW w:type="dxa" w:w="1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4A4A4A"/>
                <w:sz w:val="18"/>
                <w:szCs w:val="18"/>
              </w:rPr>
              <w:t xml:space="preserve">Verde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Acabados interiores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14%</w:t>
            </w:r>
          </w:p>
        </w:tc>
        <w:tc>
          <w:tcPr>
            <w:tcW w:type="dxa" w:w="18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4A4A4A"/>
                <w:sz w:val="18"/>
                <w:szCs w:val="18"/>
              </w:rPr>
              <w:t xml:space="preserve">Rojo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Áreas comunes y amenidades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w:t>
            </w:r>
          </w:p>
        </w:tc>
        <w:tc>
          <w:tcPr>
            <w:tcW w:type="dxa" w:w="18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4A4A4A"/>
                <w:sz w:val="18"/>
                <w:szCs w:val="18"/>
              </w:rPr>
              <w:t xml:space="preserve">Amarillo</w:t>
            </w:r>
          </w:p>
        </w:tc>
      </w:tr>
    </w:tbl>
    <w:p>
      <w:pPr>
        <w:spacing w:after="40" w:before="120"/>
      </w:pPr>
      <w:r>
        <w:rPr>
          <w:rFonts w:ascii="Arial" w:cs="Arial" w:eastAsia="Arial" w:hAnsi="Arial"/>
          <w:i/>
          <w:iCs/>
          <w:color w:val="4A4A4A"/>
          <w:sz w:val="20"/>
          <w:szCs w:val="20"/>
        </w:rPr>
        <w:t xml:space="preserve">Avance global: 52% ejecutado vs 56% programado. Desviación de 4 puntos porcentuales.</w:t>
      </w:r>
    </w:p>
    <w:p>
      <w:pPr>
        <w:pStyle w:val="Heading1"/>
        <w:pBdr>
          <w:bottom w:val="single" w:color="1B4F72" w:sz="4" w:space="4"/>
        </w:pBdr>
        <w:spacing w:after="100" w:before="280"/>
      </w:pPr>
      <w:r>
        <w:rPr>
          <w:rFonts w:ascii="Arial" w:cs="Arial" w:eastAsia="Arial" w:hAnsi="Arial"/>
          <w:b/>
          <w:bCs/>
          <w:color w:val="1B4F72"/>
          <w:sz w:val="26"/>
          <w:szCs w:val="26"/>
        </w:rPr>
        <w:t xml:space="preserve">Situación presupuestal</w:t>
      </w:r>
    </w:p>
    <w:p>
      <w:pPr>
        <w:spacing w:after="80"/>
      </w:pPr>
      <w:r>
        <w:rPr>
          <w:rFonts w:ascii="Arial" w:cs="Arial" w:eastAsia="Arial" w:hAnsi="Arial"/>
          <w:b/>
          <w:bCs/>
          <w:sz w:val="20"/>
          <w:szCs w:val="20"/>
        </w:rPr>
        <w:t xml:space="preserve">Presupuesto original: </w:t>
      </w:r>
      <w:r>
        <w:rPr>
          <w:rFonts w:ascii="Arial" w:cs="Arial" w:eastAsia="Arial" w:hAnsi="Arial"/>
          <w:color w:val="4A4A4A"/>
          <w:sz w:val="20"/>
          <w:szCs w:val="20"/>
        </w:rPr>
        <w:t xml:space="preserve">$187,400,000 MXN</w:t>
      </w:r>
    </w:p>
    <w:p>
      <w:pPr>
        <w:spacing w:after="80"/>
      </w:pPr>
      <w:r>
        <w:rPr>
          <w:rFonts w:ascii="Arial" w:cs="Arial" w:eastAsia="Arial" w:hAnsi="Arial"/>
          <w:b/>
          <w:bCs/>
          <w:sz w:val="20"/>
          <w:szCs w:val="20"/>
        </w:rPr>
        <w:t xml:space="preserve">Ejercido a la fecha: </w:t>
      </w:r>
      <w:r>
        <w:rPr>
          <w:rFonts w:ascii="Arial" w:cs="Arial" w:eastAsia="Arial" w:hAnsi="Arial"/>
          <w:color w:val="4A4A4A"/>
          <w:sz w:val="20"/>
          <w:szCs w:val="20"/>
        </w:rPr>
        <w:t xml:space="preserve">$103,200,000 MXN (55.1% del total)</w:t>
      </w:r>
    </w:p>
    <w:p>
      <w:pPr>
        <w:spacing w:after="80"/>
      </w:pPr>
      <w:r>
        <w:rPr>
          <w:rFonts w:ascii="Arial" w:cs="Arial" w:eastAsia="Arial" w:hAnsi="Arial"/>
          <w:b/>
          <w:bCs/>
          <w:sz w:val="20"/>
          <w:szCs w:val="20"/>
        </w:rPr>
        <w:t xml:space="preserve">Proyección de cierre: </w:t>
      </w:r>
      <w:r>
        <w:rPr>
          <w:rFonts w:ascii="Arial" w:cs="Arial" w:eastAsia="Arial" w:hAnsi="Arial"/>
          <w:color w:val="4A4A4A"/>
          <w:sz w:val="20"/>
          <w:szCs w:val="20"/>
        </w:rPr>
        <w:t xml:space="preserve">$196,800,000 MXN (+5.0% sobre presupuesto original)</w:t>
      </w:r>
    </w:p>
    <w:p>
      <w:pPr>
        <w:spacing w:after="100"/>
      </w:pPr>
      <w:r>
        <w:rPr>
          <w:rFonts w:ascii="Arial" w:cs="Arial" w:eastAsia="Arial" w:hAnsi="Arial"/>
          <w:color w:val="4A4A4A"/>
          <w:sz w:val="20"/>
          <w:szCs w:val="20"/>
        </w:rPr>
        <w:t xml:space="preserve">La desviación presupuestal se origina principalmente por el ajuste de precios en acero estructural notificado por el proveedor Aceros del Norte el 28 de abril, con un incremento del 14% sobre el precio contractual original. Este ajuste no estaba contemplado en el presupuesto base y representa una variación de aproximadamente 6.2 millones de pesos.</w:t>
      </w:r>
    </w:p>
    <w:p>
      <w:pPr>
        <w:pStyle w:val="Heading1"/>
        <w:pBdr>
          <w:bottom w:val="single" w:color="1B4F72" w:sz="4" w:space="4"/>
        </w:pBdr>
        <w:spacing w:after="100" w:before="280"/>
      </w:pPr>
      <w:r>
        <w:rPr>
          <w:rFonts w:ascii="Arial" w:cs="Arial" w:eastAsia="Arial" w:hAnsi="Arial"/>
          <w:b/>
          <w:bCs/>
          <w:color w:val="1B4F72"/>
          <w:sz w:val="26"/>
          <w:szCs w:val="26"/>
        </w:rPr>
        <w:t xml:space="preserve">Riesgos activos</w:t>
      </w:r>
    </w:p>
    <w:p>
      <w:pPr>
        <w:pStyle w:val="Heading2"/>
        <w:spacing w:after="80" w:before="180"/>
      </w:pPr>
      <w:r>
        <w:rPr>
          <w:rFonts w:ascii="Arial" w:cs="Arial" w:eastAsia="Arial" w:hAnsi="Arial"/>
          <w:b/>
          <w:bCs/>
          <w:color w:val="1B4F72"/>
          <w:sz w:val="22"/>
          <w:szCs w:val="22"/>
        </w:rPr>
        <w:t xml:space="preserve">Riesgo crítico — Proveedor de acero</w:t>
      </w:r>
    </w:p>
    <w:p>
      <w:pPr>
        <w:spacing w:after="100"/>
      </w:pPr>
      <w:r>
        <w:rPr>
          <w:rFonts w:ascii="Arial" w:cs="Arial" w:eastAsia="Arial" w:hAnsi="Arial"/>
          <w:color w:val="4A4A4A"/>
          <w:sz w:val="20"/>
          <w:szCs w:val="20"/>
        </w:rPr>
        <w:t xml:space="preserve">Aceros del Norte S.A. notificó el 28 de abril un ajuste unilateral de precio del 14%, argumentando incremento en insumos. El contrato firmado en enero establece precio fijo para los primeros 10 meses. El equipo jurídico fue notificado pero aún no emite opinión formal. El siguiente lote de acero para muros de contención niveles 15 al 18 debe entregarse el 2 de junio. Si no se resuelve antes del 26 de mayo, la obra de esos niveles se detiene entre 8 y 12 días hábiles.</w:t>
      </w:r>
    </w:p>
    <w:p>
      <w:pPr>
        <w:pStyle w:val="Heading2"/>
        <w:spacing w:after="80" w:before="180"/>
      </w:pPr>
      <w:r>
        <w:rPr>
          <w:rFonts w:ascii="Arial" w:cs="Arial" w:eastAsia="Arial" w:hAnsi="Arial"/>
          <w:b/>
          <w:bCs/>
          <w:color w:val="1B4F72"/>
          <w:sz w:val="22"/>
          <w:szCs w:val="22"/>
        </w:rPr>
        <w:t xml:space="preserve">Riesgo medio — Retraso en instalaciones hidráulicas</w:t>
      </w:r>
    </w:p>
    <w:p>
      <w:pPr>
        <w:spacing w:after="100"/>
      </w:pPr>
      <w:r>
        <w:rPr>
          <w:rFonts w:ascii="Arial" w:cs="Arial" w:eastAsia="Arial" w:hAnsi="Arial"/>
          <w:color w:val="4A4A4A"/>
          <w:sz w:val="20"/>
          <w:szCs w:val="20"/>
        </w:rPr>
        <w:t xml:space="preserve">La empresa subcontratada Hidrotec Especialistas presentó baja rotación de personal durante mayo, completando solo 74 de las 100 horas semanales comprometidas. El supervisor de frente reportó ausentismo recurrente los lunes. Se realizó reunión el 20 de mayo donde Hidrotec comprometió incorporar 4 técnicos adicionales para la primera semana de junio.</w:t>
      </w:r>
    </w:p>
    <w:p>
      <w:pPr>
        <w:pStyle w:val="Heading2"/>
        <w:spacing w:after="80" w:before="180"/>
      </w:pPr>
      <w:r>
        <w:rPr>
          <w:rFonts w:ascii="Arial" w:cs="Arial" w:eastAsia="Arial" w:hAnsi="Arial"/>
          <w:b/>
          <w:bCs/>
          <w:color w:val="1B4F72"/>
          <w:sz w:val="22"/>
          <w:szCs w:val="22"/>
        </w:rPr>
        <w:t xml:space="preserve">Riesgo medio — Permisos de uso de suelo para amenidades</w:t>
      </w:r>
    </w:p>
    <w:p>
      <w:pPr>
        <w:spacing w:after="100"/>
      </w:pPr>
      <w:r>
        <w:rPr>
          <w:rFonts w:ascii="Arial" w:cs="Arial" w:eastAsia="Arial" w:hAnsi="Arial"/>
          <w:color w:val="4A4A4A"/>
          <w:sz w:val="20"/>
          <w:szCs w:val="20"/>
        </w:rPr>
        <w:t xml:space="preserve">La licencia de construcción para la alberca y área de roof garden sigue en trámite ante la alcaldía Coyoacán. La solicitud fue ingresada el 14 de febrero. La fecha comprometida por la autoridad era el 30 de abril. No hay respuesta formal a la fecha. Sin esta licencia, los trabajos de amenidades no pueden iniciar.</w:t>
      </w:r>
    </w:p>
    <w:p>
      <w:pPr>
        <w:pStyle w:val="Heading1"/>
        <w:pBdr>
          <w:bottom w:val="single" w:color="1B4F72" w:sz="4" w:space="4"/>
        </w:pBdr>
        <w:spacing w:after="100" w:before="280"/>
      </w:pPr>
      <w:r>
        <w:rPr>
          <w:rFonts w:ascii="Arial" w:cs="Arial" w:eastAsia="Arial" w:hAnsi="Arial"/>
          <w:b/>
          <w:bCs/>
          <w:color w:val="1B4F72"/>
          <w:sz w:val="26"/>
          <w:szCs w:val="26"/>
        </w:rPr>
        <w:t xml:space="preserve">Fotografías y evidencia</w:t>
      </w:r>
    </w:p>
    <w:p>
      <w:pPr>
        <w:spacing w:after="100"/>
      </w:pPr>
      <w:r>
        <w:rPr>
          <w:rFonts w:ascii="Arial" w:cs="Arial" w:eastAsia="Arial" w:hAnsi="Arial"/>
          <w:color w:val="4A4A4A"/>
          <w:sz w:val="20"/>
          <w:szCs w:val="20"/>
        </w:rPr>
        <w:t xml:space="preserve">Archivo fotográfico del mes disponible en carpeta compartida: /Proyectos/Cumbres/Evidencia/Mayo2026. Incluye 84 fotografías organizadas por frente de trabajo y 3 videos de recorrido de obra.</w:t>
      </w:r>
    </w:p>
    <w:p>
      <w:pPr>
        <w:pStyle w:val="Heading1"/>
        <w:pBdr>
          <w:bottom w:val="single" w:color="1B4F72" w:sz="4" w:space="4"/>
        </w:pBdr>
        <w:spacing w:after="100" w:before="280"/>
      </w:pPr>
      <w:r>
        <w:rPr>
          <w:rFonts w:ascii="Arial" w:cs="Arial" w:eastAsia="Arial" w:hAnsi="Arial"/>
          <w:b/>
          <w:bCs/>
          <w:color w:val="1B4F72"/>
          <w:sz w:val="26"/>
          <w:szCs w:val="26"/>
        </w:rPr>
        <w:t xml:space="preserve">Firma de conformidad</w:t>
      </w:r>
    </w:p>
    <w:p>
      <w:pPr>
        <w:spacing w:after="80"/>
      </w:pPr>
      <w:r>
        <w:rPr>
          <w:rFonts w:ascii="Arial" w:cs="Arial" w:eastAsia="Arial" w:hAnsi="Arial"/>
          <w:b/>
          <w:bCs/>
          <w:sz w:val="20"/>
          <w:szCs w:val="20"/>
        </w:rPr>
        <w:t xml:space="preserve">Elaboró: </w:t>
      </w:r>
      <w:r>
        <w:rPr>
          <w:rFonts w:ascii="Arial" w:cs="Arial" w:eastAsia="Arial" w:hAnsi="Arial"/>
          <w:color w:val="4A4A4A"/>
          <w:sz w:val="20"/>
          <w:szCs w:val="20"/>
        </w:rPr>
        <w:t xml:space="preserve">Ing. Héctor Rangel Bravo, Director de Obra</w:t>
      </w:r>
    </w:p>
    <w:p>
      <w:pPr>
        <w:spacing w:after="80"/>
      </w:pPr>
      <w:r>
        <w:rPr>
          <w:rFonts w:ascii="Arial" w:cs="Arial" w:eastAsia="Arial" w:hAnsi="Arial"/>
          <w:b/>
          <w:bCs/>
          <w:sz w:val="20"/>
          <w:szCs w:val="20"/>
        </w:rPr>
        <w:t xml:space="preserve">Revisó: </w:t>
      </w:r>
      <w:r>
        <w:rPr>
          <w:rFonts w:ascii="Arial" w:cs="Arial" w:eastAsia="Arial" w:hAnsi="Arial"/>
          <w:color w:val="4A4A4A"/>
          <w:sz w:val="20"/>
          <w:szCs w:val="20"/>
        </w:rPr>
        <w:t xml:space="preserve">Arq. Daniela Montoya, Coordinadora de Proyectos</w:t>
      </w:r>
    </w:p>
    <w:p>
      <w:pPr>
        <w:spacing w:after="80"/>
      </w:pPr>
      <w:r>
        <w:rPr>
          <w:rFonts w:ascii="Arial" w:cs="Arial" w:eastAsia="Arial" w:hAnsi="Arial"/>
          <w:b/>
          <w:bCs/>
          <w:sz w:val="20"/>
          <w:szCs w:val="20"/>
        </w:rPr>
        <w:t xml:space="preserve">Fecha de emisión: </w:t>
      </w:r>
      <w:r>
        <w:rPr>
          <w:rFonts w:ascii="Arial" w:cs="Arial" w:eastAsia="Arial" w:hAnsi="Arial"/>
          <w:color w:val="4A4A4A"/>
          <w:sz w:val="20"/>
          <w:szCs w:val="20"/>
        </w:rPr>
        <w:t xml:space="preserve">2 de junio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2026-05-25T18:23:09.728Z</dcterms:created>
  <dcterms:modified xsi:type="dcterms:W3CDTF">2026-05-25T18:23:09.728Z</dcterms:modified>
</cp:coreProperties>
</file>

<file path=docProps/custom.xml><?xml version="1.0" encoding="utf-8"?>
<Properties xmlns="http://schemas.openxmlformats.org/officeDocument/2006/custom-properties" xmlns:vt="http://schemas.openxmlformats.org/officeDocument/2006/docPropsVTypes"/>
</file>