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Propuesta de servicios: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Clínica Santa Elena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IMPLEMENTACIÓN DE EXPEDIENTE CLÍNICO ELECTRÓNICO Y DIGITALIZACIÓN DE PROCESOS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Proyecto de transformación digital en dos fases</w:t>
      </w:r>
    </w:p>
    <w:p>
      <w:pPr>
        <w:pBdr>
          <w:bottom w:val="single" w:color="1F3864" w:sz="6" w:space="4"/>
        </w:pBdr>
        <w:spacing w:after="32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PREPARADO POR: HealthTech Implementaciones  ·  Febrero 2026</w:t>
      </w:r>
    </w:p>
    <w:p>
      <w:pPr>
        <w:pStyle w:val="Heading1"/>
        <w:pBdr>
          <w:bottom w:val="single" w:color="1F3864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Contexto</w:t>
      </w:r>
    </w:p>
    <w:p>
      <w:pPr>
        <w:spacing w:after="12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Clínica Santa Elena es una institución médica privada con 12 consultorios, servicio de urgencias, laboratorio y área de imagen. Opera con expedientes físicos desde su fundación hace 22 años. El volumen actual de atención — aproximadamente 180 consultas diarias — ha generado una carga administrativa insostenible: tiempo promedio de búsqueda de expediente de 8 minutos, errores frecuentes en prescripción por ilegibilidad de notas, y ausencia total de datos consolidados para toma de decisiones médicas y administrativas.</w:t>
      </w:r>
    </w:p>
    <w:p>
      <w:pPr>
        <w:spacing w:after="12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La dirección médica ha tomado la decisión de digitalizar el expediente clínico antes del cierre del año y ha solicitado a HealthTech una propuesta de implementación que minimice la disrupción operativa durante la transición.</w:t>
      </w:r>
    </w:p>
    <w:p>
      <w:pPr>
        <w:pStyle w:val="Heading1"/>
        <w:pBdr>
          <w:bottom w:val="single" w:color="1F3864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Objetivo</w:t>
      </w:r>
    </w:p>
    <w:p>
      <w:pPr>
        <w:spacing w:after="12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Implementar un sistema de expediente clínico electrónico (ECE) que esté en operación completa para el 1 de noviembre de 2026, con migración del 100% de los expedientes activos (estimado: 4,200 pacientes), capacitación de todo el personal médico y administrativo, y un tablero de indicadores básico para la dirección.</w:t>
      </w:r>
    </w:p>
    <w:p>
      <w:pPr>
        <w:pStyle w:val="Heading1"/>
        <w:pBdr>
          <w:bottom w:val="single" w:color="1F3864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Entregables por fase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Fase 1 — Configuración e integración (abril–junio 2026)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Instalación y configuración del sistema MedRecord Pro en servidores de la clínica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Integración con sistema de laboratorio (LabSoft v3) y equipo de imagen (PACS)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Migración de datos históricos de los últimos 3 años (pacientes activos)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Manual de usuario para médicos, enfermería y recepción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Fase 2 — Capacitación y estabilización (julio–octubre 2026)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Capacitación en grupos de máximo 8 personas por sesión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Operación en paralelo (físico + digital) durante 6 semanas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Soporte on-site de un técnico de HealthTech durante el primer mes de operación completa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Reporte final de implementación con métricas de adopción</w:t>
      </w:r>
    </w:p>
    <w:p>
      <w:pPr>
        <w:pStyle w:val="Heading1"/>
        <w:pBdr>
          <w:bottom w:val="single" w:color="1F3864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Responsables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Patrocinador del proyecto: 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Dr. Arturo Medina, Director Médico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Enlace administrativo: 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Lic. Carmen Solís, Gerente de Administración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Responsable técnico: 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Ing. Felipe Garza, Jefe de Sistemas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Líder de implementación (HealthTech): 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Ing. Andrea Rojas, Project Manager Senior</w:t>
      </w:r>
    </w:p>
    <w:p>
      <w:pPr>
        <w:pStyle w:val="Heading1"/>
        <w:pBdr>
          <w:bottom w:val="single" w:color="1F3864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Riesgos y contingencias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Migración de datos: los expedientes físicos anteriores a 2023 no serán digitalizados en esta fase — se requiere definir política de acceso a archivo físico durante la transición.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Resistencia del personal médico: se ha identificado en otras implementaciones similares que los médicos de mayor antigüedad presentan mayor resistencia. Se propone involucrarlos como campeones digitales desde la Fase 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Dependencia del proveedor del sistema: MedRecord Pro requiere conexión a internet estable. Se recomienda contratar enlace redundante antes del inicio de Fase 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Riesgo regulatorio: la NOM-024-SSA3-2012 establece requisitos específicos para ECE. HealthTech garantiza cumplimiento normativo en la configuración del sistema.</w:t>
      </w:r>
    </w:p>
    <w:p>
      <w:pPr>
        <w:pStyle w:val="Heading1"/>
        <w:pBdr>
          <w:bottom w:val="single" w:color="1F3864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Inversión y condiciones de pago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Pago en tres parcialidades: al inicio de Fase 1, al inicio de Fase 2 y a la entrega del reporte final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Licencias anuales de MedRecord Pro son responsabilidad del cliente a partir del segundo año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El contrato incluye soporte técnico por 12 meses posteriores al go-live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2026-05-20T14:57:42.295Z</dcterms:created>
  <dcterms:modified xsi:type="dcterms:W3CDTF">2026-05-20T14:57:42.295Z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