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color w:val="7A5A00"/>
          <w:sz w:val="21"/>
        </w:rPr>
        <w:t>RAND AI STRATEGY GUIDE</w:t>
      </w:r>
    </w:p>
    <w:p>
      <w:pPr>
        <w:spacing w:after="160"/>
        <w:jc w:val="center"/>
      </w:pPr>
      <w:r>
        <w:rPr>
          <w:rFonts w:ascii="Calibri" w:hAnsi="Calibri"/>
          <w:b/>
          <w:color w:val="0B2545"/>
          <w:sz w:val="60"/>
        </w:rPr>
        <w:t>Freshness Strategy</w:t>
      </w:r>
    </w:p>
    <w:p>
      <w:pPr>
        <w:spacing w:after="560"/>
        <w:jc w:val="center"/>
      </w:pPr>
      <w:r>
        <w:rPr>
          <w:rFonts w:ascii="Calibri" w:hAnsi="Calibri"/>
          <w:color w:val="1F4D78"/>
          <w:sz w:val="30"/>
        </w:rPr>
        <w:t>How Rand AI learns from the number of draws since a number last appeared</w:t>
      </w:r>
    </w:p>
    <w:p>
      <w:pPr>
        <w:spacing w:after="1800"/>
        <w:jc w:val="center"/>
      </w:pPr>
      <w:r>
        <w:rPr>
          <w:rFonts w:ascii="Calibri" w:hAnsi="Calibri"/>
          <w:i/>
          <w:color w:val="5F6B76"/>
          <w:sz w:val="21"/>
        </w:rPr>
        <w:t>A plain-language guide to the mathematics, program logic, and correct reading of the results</w:t>
      </w:r>
    </w:p>
    <w:p>
      <w:pPr>
        <w:spacing w:after="80"/>
        <w:jc w:val="center"/>
      </w:pPr>
      <w:r>
        <w:rPr>
          <w:rFonts w:ascii="Calibri" w:hAnsi="Calibri"/>
          <w:b/>
          <w:color w:val="5F6B76"/>
          <w:sz w:val="18"/>
        </w:rPr>
        <w:t>Prepared for</w:t>
      </w:r>
    </w:p>
    <w:p>
      <w:pPr>
        <w:spacing w:after="240"/>
        <w:jc w:val="center"/>
      </w:pPr>
      <w:r>
        <w:rPr>
          <w:rFonts w:ascii="Calibri" w:hAnsi="Calibri"/>
          <w:b/>
          <w:color w:val="0B2545"/>
          <w:sz w:val="23"/>
        </w:rPr>
        <w:t>Readers with high-school mathematics; no programming background required</w:t>
      </w:r>
    </w:p>
    <w:p>
      <w:pPr>
        <w:jc w:val="center"/>
      </w:pPr>
      <w:r>
        <w:rPr>
          <w:rFonts w:ascii="Calibri" w:hAnsi="Calibri"/>
          <w:color w:val="5F6B76"/>
          <w:sz w:val="19"/>
        </w:rPr>
        <w:t>Implementation reference: Rand AI · 25 July 2026</w:t>
      </w:r>
    </w:p>
    <w:p>
      <w:pPr>
        <w:pageBreakBefore/>
        <w:spacing w:after="100"/>
      </w:pPr>
      <w:r>
        <w:rPr>
          <w:rFonts w:ascii="Calibri" w:hAnsi="Calibri"/>
          <w:b/>
          <w:color w:val="0B2545"/>
          <w:sz w:val="40"/>
        </w:rPr>
        <w:t>CONTENTS AND LEARNING MAP</w:t>
      </w:r>
    </w:p>
    <w:p>
      <w:r>
        <w:t>You can read this guide from start to finish, or jump directly to the question you need to answer. Each chapter separates three ideas: what the strategy measures, how the program computes it, and what the displayed result does—and does not—mean.</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cantSplit/>
        </w:trPr>
        <w:tc>
          <w:tcPr>
            <w:tcW w:type="dxa" w:w="27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Chapter</w:t>
            </w:r>
          </w:p>
        </w:tc>
        <w:tc>
          <w:tcPr>
            <w:tcW w:type="dxa" w:w="66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What you will learn</w:t>
            </w:r>
          </w:p>
        </w:tc>
      </w:tr>
      <w:tr>
        <w:trPr>
          <w:cantSplit/>
        </w:trPr>
        <w:tc>
          <w:tcPr>
            <w:tcW w:type="dxa" w:w="27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 The idea in everyday language</w:t>
            </w:r>
          </w:p>
        </w:tc>
        <w:tc>
          <w:tcPr>
            <w:tcW w:type="dxa" w:w="66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Understand gap, hit, exposure, and support.</w:t>
            </w:r>
          </w:p>
        </w:tc>
      </w:tr>
      <w:tr>
        <w:trPr>
          <w:cantSplit/>
        </w:trPr>
        <w:tc>
          <w:tcPr>
            <w:tcW w:type="dxa" w:w="27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2. The computation</w:t>
            </w:r>
          </w:p>
        </w:tc>
        <w:tc>
          <w:tcPr>
            <w:tcW w:type="dxa" w:w="66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Follow the training table, smoothing formula, and worked examples.</w:t>
            </w:r>
          </w:p>
        </w:tc>
      </w:tr>
      <w:tr>
        <w:trPr>
          <w:cantSplit/>
        </w:trPr>
        <w:tc>
          <w:tcPr>
            <w:tcW w:type="dxa" w:w="27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3. The implementation</w:t>
            </w:r>
          </w:p>
        </w:tc>
        <w:tc>
          <w:tcPr>
            <w:tcW w:type="dxa" w:w="66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See the program’s walk-forward sequence and ranking rules.</w:t>
            </w:r>
          </w:p>
        </w:tc>
      </w:tr>
      <w:tr>
        <w:trPr>
          <w:cantSplit/>
        </w:trPr>
        <w:tc>
          <w:tcPr>
            <w:tcW w:type="dxa" w:w="27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4. Reading the results</w:t>
            </w:r>
          </w:p>
        </w:tc>
        <w:tc>
          <w:tcPr>
            <w:tcW w:type="dxa" w:w="66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Interpret Gap, Hit probability, Score, Rank, and Top 6.</w:t>
            </w:r>
          </w:p>
        </w:tc>
      </w:tr>
      <w:tr>
        <w:trPr>
          <w:cantSplit/>
        </w:trPr>
        <w:tc>
          <w:tcPr>
            <w:tcW w:type="dxa" w:w="27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5. Limits and responsible use</w:t>
            </w:r>
          </w:p>
        </w:tc>
        <w:tc>
          <w:tcPr>
            <w:tcW w:type="dxa" w:w="66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Know what the model can describe and what it cannot predict.</w:t>
            </w:r>
          </w:p>
        </w:tc>
      </w:tr>
      <w:tr>
        <w:trPr>
          <w:cantSplit/>
        </w:trPr>
        <w:tc>
          <w:tcPr>
            <w:tcW w:type="dxa" w:w="27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Reference</w:t>
            </w:r>
          </w:p>
        </w:tc>
        <w:tc>
          <w:tcPr>
            <w:tcW w:type="dxa" w:w="66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Use the checklist, glossary, and compact algorithm summary.</w:t>
            </w:r>
          </w:p>
        </w:tc>
      </w:tr>
    </w:tbl>
    <w:p>
      <w:pPr>
        <w:spacing w:before="0" w:after="40"/>
      </w:pPr>
    </w:p>
    <w:p>
      <w:pPr>
        <w:spacing w:before="120" w:after="180"/>
        <w:ind w:left="173" w:right="173"/>
        <w:shd w:fill="FFF7DD" w:val="clear"/>
        <w:pBdr>
          <w:top w:val="single" w:sz="6" w:space="4" w:color="7A5A00"/>
          <w:left w:val="single" w:sz="6" w:space="4" w:color="7A5A00"/>
          <w:bottom w:val="single" w:sz="6" w:space="4" w:color="7A5A00"/>
          <w:right w:val="single" w:sz="6" w:space="4" w:color="7A5A00"/>
        </w:pBdr>
      </w:pPr>
      <w:r>
        <w:rPr>
          <w:rFonts w:ascii="Calibri" w:hAnsi="Calibri"/>
          <w:b/>
          <w:color w:val="7A5A00"/>
        </w:rPr>
        <w:t xml:space="preserve">The most important reading rule: </w:t>
      </w:r>
      <w:r>
        <w:rPr>
          <w:rFonts w:ascii="Calibri" w:hAnsi="Calibri"/>
          <w:color w:val="20252B"/>
        </w:rPr>
        <w:t>A high score means “higher according to this model and this history.” It does not mean “certain to be drawn.” Lottery draws remain random.</w:t>
      </w:r>
    </w:p>
    <w:p>
      <w:pPr>
        <w:pStyle w:val="Heading1"/>
        <w:pageBreakBefore/>
      </w:pPr>
      <w:r>
        <w:t>1. The idea in everyday language</w:t>
      </w:r>
    </w:p>
    <w:p>
      <w:pPr>
        <w:spacing w:after="200"/>
      </w:pPr>
      <w:r>
        <w:rPr>
          <w:rFonts w:ascii="Calibri" w:hAnsi="Calibri"/>
          <w:i/>
          <w:color w:val="1F4D78"/>
          <w:sz w:val="22"/>
        </w:rPr>
        <w:t>Freshness asks a simple historical question: after a number has waited this many draws, how often did a number in the same waiting state appear next?</w:t>
      </w:r>
    </w:p>
    <w:p>
      <w:pPr>
        <w:pStyle w:val="Heading2"/>
      </w:pPr>
      <w:r>
        <w:t>1.1 One number, two possible outcomes</w:t>
      </w:r>
    </w:p>
    <w:p>
      <w:r>
        <w:t>For every candidate number from 1 to 49, each draw has only two outcomes. The number is drawn, which we can write as D, or it is not drawn, written as !D. A standard draw contains 6 numbers, so every draw creates 49 number-opportunities: 6 are hits and 43 are misses.</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cantSplit/>
        </w:trPr>
        <w:tc>
          <w:tcPr>
            <w:tcW w:type="dxa" w:w="22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Term</w:t>
            </w:r>
          </w:p>
        </w:tc>
        <w:tc>
          <w:tcPr>
            <w:tcW w:type="dxa" w:w="71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Plain-language meaning</w:t>
            </w:r>
          </w:p>
        </w:tc>
      </w:tr>
      <w:tr>
        <w:trPr>
          <w:cantSplit/>
        </w:trPr>
        <w:tc>
          <w:tcPr>
            <w:tcW w:type="dxa" w:w="2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Gap</w:t>
            </w:r>
          </w:p>
        </w:tc>
        <w:tc>
          <w:tcPr>
            <w:tcW w:type="dxa" w:w="71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How many complete draws have passed since the number last appeared.</w:t>
            </w:r>
          </w:p>
        </w:tc>
      </w:tr>
      <w:tr>
        <w:trPr>
          <w:cantSplit/>
        </w:trPr>
        <w:tc>
          <w:tcPr>
            <w:tcW w:type="dxa" w:w="2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Exposure</w:t>
            </w:r>
          </w:p>
        </w:tc>
        <w:tc>
          <w:tcPr>
            <w:tcW w:type="dxa" w:w="71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One historical chance for a number in a particular gap state.</w:t>
            </w:r>
          </w:p>
        </w:tc>
      </w:tr>
      <w:tr>
        <w:trPr>
          <w:cantSplit/>
        </w:trPr>
        <w:tc>
          <w:tcPr>
            <w:tcW w:type="dxa" w:w="2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Hit</w:t>
            </w:r>
          </w:p>
        </w:tc>
        <w:tc>
          <w:tcPr>
            <w:tcW w:type="dxa" w:w="71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An exposure whose next outcome was D.</w:t>
            </w:r>
          </w:p>
        </w:tc>
      </w:tr>
      <w:tr>
        <w:trPr>
          <w:cantSplit/>
        </w:trPr>
        <w:tc>
          <w:tcPr>
            <w:tcW w:type="dxa" w:w="2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Support</w:t>
            </w:r>
          </w:p>
        </w:tc>
        <w:tc>
          <w:tcPr>
            <w:tcW w:type="dxa" w:w="71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The number of exposures used for that exact gap.</w:t>
            </w:r>
          </w:p>
        </w:tc>
      </w:tr>
      <w:tr>
        <w:trPr>
          <w:cantSplit/>
        </w:trPr>
        <w:tc>
          <w:tcPr>
            <w:tcW w:type="dxa" w:w="2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Estimated probability</w:t>
            </w:r>
          </w:p>
        </w:tc>
        <w:tc>
          <w:tcPr>
            <w:tcW w:type="dxa" w:w="71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The smoothed historical hit rate for that gap.</w:t>
            </w:r>
          </w:p>
        </w:tc>
      </w:tr>
    </w:tbl>
    <w:p>
      <w:pPr>
        <w:spacing w:before="0" w:after="40"/>
      </w:pPr>
    </w:p>
    <w:p>
      <w:pPr>
        <w:pStyle w:val="Heading2"/>
      </w:pPr>
      <w:r>
        <w:t>1.2 What a gap means</w:t>
      </w:r>
    </w:p>
    <w:p>
      <w:r>
        <w:t>Gap 0 means the number appeared in the most recent known draw. Gap 1 means it missed the most recent draw but appeared one draw earlier. Gap 2 means two complete draws have passed since its last appearance, and so on.</w:t>
      </w:r>
    </w:p>
    <w:tbl>
      <w:tblPr>
        <w:tblStyle w:val="TableGrid"/>
        <w:tblW w:type="dxa" w:w="9360"/>
        <w:jc w:val="left"/>
        <w:tblLayout w:type="fixed"/>
        <w:tblLook w:firstColumn="1" w:firstRow="1" w:lastColumn="0" w:lastRow="0" w:noHBand="0" w:noVBand="1" w:val="04A0"/>
        <w:tblInd w:type="dxa" w:w="120"/>
      </w:tblPr>
      <w:tblGrid>
        <w:gridCol w:w="3200"/>
        <w:gridCol w:w="1400"/>
        <w:gridCol w:w="4760"/>
      </w:tblGrid>
      <w:tr>
        <w:trPr>
          <w:tblHeader w:val="true"/>
          <w:cantSplit/>
        </w:trPr>
        <w:tc>
          <w:tcPr>
            <w:tcW w:type="dxa" w:w="32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Recent history for one number</w:t>
            </w:r>
          </w:p>
        </w:tc>
        <w:tc>
          <w:tcPr>
            <w:tcW w:type="dxa" w:w="14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Current gap</w:t>
            </w:r>
          </w:p>
        </w:tc>
        <w:tc>
          <w:tcPr>
            <w:tcW w:type="dxa" w:w="47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Reason</w:t>
            </w:r>
          </w:p>
        </w:tc>
      </w:tr>
      <w:tr>
        <w:trPr>
          <w:cantSplit/>
        </w:trPr>
        <w:tc>
          <w:tcPr>
            <w:tcW w:type="dxa" w:w="3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  !D  !D  D</w:t>
            </w:r>
          </w:p>
        </w:tc>
        <w:tc>
          <w:tcPr>
            <w:tcW w:type="dxa" w:w="14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0</w:t>
            </w:r>
          </w:p>
        </w:tc>
        <w:tc>
          <w:tcPr>
            <w:tcW w:type="dxa" w:w="47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The latest draw is D.</w:t>
            </w:r>
          </w:p>
        </w:tc>
      </w:tr>
      <w:tr>
        <w:trPr>
          <w:cantSplit/>
        </w:trPr>
        <w:tc>
          <w:tcPr>
            <w:tcW w:type="dxa" w:w="3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  !D  D  !D</w:t>
            </w:r>
          </w:p>
        </w:tc>
        <w:tc>
          <w:tcPr>
            <w:tcW w:type="dxa" w:w="14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w:t>
            </w:r>
          </w:p>
        </w:tc>
        <w:tc>
          <w:tcPr>
            <w:tcW w:type="dxa" w:w="47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One draw has passed since D.</w:t>
            </w:r>
          </w:p>
        </w:tc>
      </w:tr>
      <w:tr>
        <w:trPr>
          <w:cantSplit/>
        </w:trPr>
        <w:tc>
          <w:tcPr>
            <w:tcW w:type="dxa" w:w="3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  D  !D  !D</w:t>
            </w:r>
          </w:p>
        </w:tc>
        <w:tc>
          <w:tcPr>
            <w:tcW w:type="dxa" w:w="14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2</w:t>
            </w:r>
          </w:p>
        </w:tc>
        <w:tc>
          <w:tcPr>
            <w:tcW w:type="dxa" w:w="47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Two draws have passed since D.</w:t>
            </w:r>
          </w:p>
        </w:tc>
      </w:tr>
      <w:tr>
        <w:trPr>
          <w:cantSplit/>
        </w:trPr>
        <w:tc>
          <w:tcPr>
            <w:tcW w:type="dxa" w:w="3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Never observed yet</w:t>
            </w:r>
          </w:p>
        </w:tc>
        <w:tc>
          <w:tcPr>
            <w:tcW w:type="dxa" w:w="14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Number of known draws</w:t>
            </w:r>
          </w:p>
        </w:tc>
        <w:tc>
          <w:tcPr>
            <w:tcW w:type="dxa" w:w="47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All known draws have been misses.</w:t>
            </w:r>
          </w:p>
        </w:tc>
      </w:tr>
    </w:tbl>
    <w:p>
      <w:pPr>
        <w:spacing w:before="0" w:after="40"/>
      </w:pPr>
    </w:p>
    <w:p>
      <w:pPr>
        <w:spacing w:before="120" w:after="180"/>
        <w:ind w:left="173" w:right="173"/>
        <w:shd w:fill="FFF7DD" w:val="clear"/>
        <w:pBdr>
          <w:top w:val="single" w:sz="6" w:space="4" w:color="7A5A00"/>
          <w:left w:val="single" w:sz="6" w:space="4" w:color="7A5A00"/>
          <w:bottom w:val="single" w:sz="6" w:space="4" w:color="7A5A00"/>
          <w:right w:val="single" w:sz="6" w:space="4" w:color="7A5A00"/>
        </w:pBdr>
      </w:pPr>
      <w:r>
        <w:rPr>
          <w:rFonts w:ascii="Calibri" w:hAnsi="Calibri"/>
          <w:b/>
          <w:color w:val="7A5A00"/>
        </w:rPr>
        <w:t xml:space="preserve">Fresh does not mean “must be overdue”: </w:t>
      </w:r>
      <w:r>
        <w:rPr>
          <w:rFonts w:ascii="Calibri" w:hAnsi="Calibri"/>
          <w:color w:val="20252B"/>
        </w:rPr>
        <w:t>The model does not assume that a long absence creates a debt that the lottery must repay. It only measures what happened historically after each exact gap.</w:t>
      </w:r>
    </w:p>
    <w:p>
      <w:pPr>
        <w:pStyle w:val="Heading1"/>
        <w:pageBreakBefore/>
      </w:pPr>
      <w:r>
        <w:t>2. The computation</w:t>
      </w:r>
    </w:p>
    <w:p>
      <w:pPr>
        <w:spacing w:after="200"/>
      </w:pPr>
      <w:r>
        <w:rPr>
          <w:rFonts w:ascii="Calibri" w:hAnsi="Calibri"/>
          <w:i/>
          <w:color w:val="1F4D78"/>
          <w:sz w:val="22"/>
        </w:rPr>
        <w:t>The strategy builds one shared lookup table: exact gap → hits and exposures.</w:t>
      </w:r>
    </w:p>
    <w:p>
      <w:pPr>
        <w:pStyle w:val="Heading2"/>
      </w:pPr>
      <w:r>
        <w:t>2.1 Learning one draw without looking into the future</w:t>
      </w:r>
    </w:p>
    <w:p>
      <w:pPr>
        <w:numPr>
          <w:ilvl w:val="0"/>
          <w:numId w:val="12"/>
        </w:numPr>
      </w:pPr>
      <w:r>
        <w:rPr>
          <w:rFonts w:ascii="Calibri" w:hAnsi="Calibri"/>
        </w:rPr>
        <w:t>Before reading the outcome of a historical draw, calculate the current gap for every number from 1 to 49.</w:t>
      </w:r>
    </w:p>
    <w:p>
      <w:pPr>
        <w:numPr>
          <w:ilvl w:val="0"/>
          <w:numId w:val="12"/>
        </w:numPr>
      </w:pPr>
      <w:r>
        <w:rPr>
          <w:rFonts w:ascii="Calibri" w:hAnsi="Calibri"/>
        </w:rPr>
        <w:t>Check the draw. Add 1 exposure to the row for that gap. If the number was drawn, also add 1 hit.</w:t>
      </w:r>
    </w:p>
    <w:p>
      <w:pPr>
        <w:numPr>
          <w:ilvl w:val="0"/>
          <w:numId w:val="12"/>
        </w:numPr>
      </w:pPr>
      <w:r>
        <w:rPr>
          <w:rFonts w:ascii="Calibri" w:hAnsi="Calibri"/>
        </w:rPr>
        <w:t>After learning the outcome, update the last-seen position of every drawn number. The state is now ready for the next draw.</w:t>
      </w:r>
    </w:p>
    <w:p>
      <w:r>
        <w:t>This order matters. If the program updated last-seen before it learned the outcome, the answer would leak into the input. Rand AI deliberately learns first and observes second.</w:t>
      </w:r>
    </w:p>
    <w:p>
      <w:pPr>
        <w:pStyle w:val="Heading2"/>
      </w:pPr>
      <w:r>
        <w:t>2.2 The shared gap table</w:t>
      </w:r>
    </w:p>
    <w:p>
      <w:r>
        <w:t>Freshness pools the evidence from all 49 numbers. Number 7 at gap 3 and number 31 at gap 3 contribute to the same gap-3 row. This gives more evidence than building 49 separate gap tables, but it also means the model treats the meaning of gap 3 as common to every number.</w:t>
      </w:r>
    </w:p>
    <w:tbl>
      <w:tblPr>
        <w:tblStyle w:val="TableGrid"/>
        <w:tblW w:type="dxa" w:w="9360"/>
        <w:jc w:val="left"/>
        <w:tblLayout w:type="fixed"/>
        <w:tblLook w:firstColumn="1" w:firstRow="1" w:lastColumn="0" w:lastRow="0" w:noHBand="0" w:noVBand="1" w:val="04A0"/>
        <w:tblInd w:type="dxa" w:w="120"/>
      </w:tblPr>
      <w:tblGrid>
        <w:gridCol w:w="1400"/>
        <w:gridCol w:w="1900"/>
        <w:gridCol w:w="2300"/>
        <w:gridCol w:w="3760"/>
      </w:tblGrid>
      <w:tr>
        <w:trPr>
          <w:tblHeader w:val="true"/>
          <w:cantSplit/>
        </w:trPr>
        <w:tc>
          <w:tcPr>
            <w:tcW w:type="dxa" w:w="14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Exact gap</w:t>
            </w:r>
          </w:p>
        </w:tc>
        <w:tc>
          <w:tcPr>
            <w:tcW w:type="dxa" w:w="19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Historical hits</w:t>
            </w:r>
          </w:p>
        </w:tc>
        <w:tc>
          <w:tcPr>
            <w:tcW w:type="dxa" w:w="23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Exposures (support)</w:t>
            </w:r>
          </w:p>
        </w:tc>
        <w:tc>
          <w:tcPr>
            <w:tcW w:type="dxa" w:w="37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Raw hit rate</w:t>
            </w:r>
          </w:p>
        </w:tc>
      </w:tr>
      <w:tr>
        <w:trPr>
          <w:cantSplit/>
        </w:trPr>
        <w:tc>
          <w:tcPr>
            <w:tcW w:type="dxa" w:w="14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0</w:t>
            </w:r>
          </w:p>
        </w:tc>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530</w:t>
            </w:r>
          </w:p>
        </w:tc>
        <w:tc>
          <w:tcPr>
            <w:tcW w:type="dxa" w:w="23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4,300</w:t>
            </w:r>
          </w:p>
        </w:tc>
        <w:tc>
          <w:tcPr>
            <w:tcW w:type="dxa" w:w="37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530 ÷ 4,300 = 12.33%</w:t>
            </w:r>
          </w:p>
        </w:tc>
      </w:tr>
      <w:tr>
        <w:trPr>
          <w:cantSplit/>
        </w:trPr>
        <w:tc>
          <w:tcPr>
            <w:tcW w:type="dxa" w:w="14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w:t>
            </w:r>
          </w:p>
        </w:tc>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465</w:t>
            </w:r>
          </w:p>
        </w:tc>
        <w:tc>
          <w:tcPr>
            <w:tcW w:type="dxa" w:w="23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3,900</w:t>
            </w:r>
          </w:p>
        </w:tc>
        <w:tc>
          <w:tcPr>
            <w:tcW w:type="dxa" w:w="37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465 ÷ 3,900 = 11.92%</w:t>
            </w:r>
          </w:p>
        </w:tc>
      </w:tr>
      <w:tr>
        <w:trPr>
          <w:cantSplit/>
        </w:trPr>
        <w:tc>
          <w:tcPr>
            <w:tcW w:type="dxa" w:w="14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3</w:t>
            </w:r>
          </w:p>
        </w:tc>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18</w:t>
            </w:r>
          </w:p>
        </w:tc>
        <w:tc>
          <w:tcPr>
            <w:tcW w:type="dxa" w:w="23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120</w:t>
            </w:r>
          </w:p>
        </w:tc>
        <w:tc>
          <w:tcPr>
            <w:tcW w:type="dxa" w:w="37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18 ÷ 120 = 15.00%</w:t>
            </w:r>
          </w:p>
        </w:tc>
      </w:tr>
      <w:tr>
        <w:trPr>
          <w:cantSplit/>
        </w:trPr>
        <w:tc>
          <w:tcPr>
            <w:tcW w:type="dxa" w:w="14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14</w:t>
            </w:r>
          </w:p>
        </w:tc>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w:t>
            </w:r>
          </w:p>
        </w:tc>
        <w:tc>
          <w:tcPr>
            <w:tcW w:type="dxa" w:w="23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2</w:t>
            </w:r>
          </w:p>
        </w:tc>
        <w:tc>
          <w:tcPr>
            <w:tcW w:type="dxa" w:w="37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 ÷ 2 = 50.00% (very uncertain)</w:t>
            </w:r>
          </w:p>
        </w:tc>
      </w:tr>
    </w:tbl>
    <w:p>
      <w:pPr>
        <w:spacing w:before="0" w:after="40"/>
      </w:pPr>
    </w:p>
    <w:p>
      <w:r>
        <w:t>The numbers in this table are teaching examples. The real table is built from the currently loaded draw history.</w:t>
      </w:r>
    </w:p>
    <w:p>
      <w:pPr>
        <w:pStyle w:val="Heading2"/>
      </w:pPr>
      <w:r>
        <w:t>2.3 Why smoothing is necessary</w:t>
      </w:r>
    </w:p>
    <w:p>
      <w:r>
        <w:t>A rare gap can produce a dramatic raw percentage from only one or two examples. Rand AI therefore adds a small prior worth two imaginary exposures at the ordinary lottery rate.</w:t>
      </w:r>
    </w:p>
    <w:p>
      <w:pPr>
        <w:spacing w:before="100" w:after="80"/>
        <w:jc w:val="center"/>
        <w:shd w:fill="F2F4F7" w:val="clear"/>
      </w:pPr>
      <w:r>
        <w:rPr>
          <w:rFonts w:ascii="Consolas" w:hAnsi="Consolas"/>
          <w:b/>
          <w:color w:val="0B2545"/>
          <w:sz w:val="21"/>
        </w:rPr>
        <w:t>smoothed rate = (hits + 2 × 6/49) ÷ (exposures + 2)</w:t>
      </w:r>
    </w:p>
    <w:p>
      <w:pPr>
        <w:spacing w:after="180"/>
        <w:jc w:val="center"/>
      </w:pPr>
      <w:r>
        <w:rPr>
          <w:rFonts w:ascii="Calibri" w:hAnsi="Calibri"/>
          <w:i/>
          <w:color w:val="5F6B76"/>
          <w:sz w:val="19"/>
        </w:rPr>
        <w:t>6/49 ≈ 12.24% is the neutral chance for one specified number in a 6-of-49 draw.</w:t>
      </w:r>
    </w:p>
    <w:tbl>
      <w:tblPr>
        <w:tblStyle w:val="TableGrid"/>
        <w:tblW w:type="dxa" w:w="9360"/>
        <w:jc w:val="left"/>
        <w:tblLayout w:type="fixed"/>
        <w:tblLook w:firstColumn="1" w:firstRow="1" w:lastColumn="0" w:lastRow="0" w:noHBand="0" w:noVBand="1" w:val="04A0"/>
        <w:tblInd w:type="dxa" w:w="120"/>
      </w:tblPr>
      <w:tblGrid>
        <w:gridCol w:w="2350"/>
        <w:gridCol w:w="1200"/>
        <w:gridCol w:w="3050"/>
        <w:gridCol w:w="2760"/>
      </w:tblGrid>
      <w:tr>
        <w:trPr>
          <w:tblHeader w:val="true"/>
          <w:cantSplit/>
        </w:trPr>
        <w:tc>
          <w:tcPr>
            <w:tcW w:type="dxa" w:w="235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Example</w:t>
            </w:r>
          </w:p>
        </w:tc>
        <w:tc>
          <w:tcPr>
            <w:tcW w:type="dxa" w:w="12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Raw rate</w:t>
            </w:r>
          </w:p>
        </w:tc>
        <w:tc>
          <w:tcPr>
            <w:tcW w:type="dxa" w:w="305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Smoothed result</w:t>
            </w:r>
          </w:p>
        </w:tc>
        <w:tc>
          <w:tcPr>
            <w:tcW w:type="dxa" w:w="27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What changed</w:t>
            </w:r>
          </w:p>
        </w:tc>
      </w:tr>
      <w:tr>
        <w:trPr>
          <w:cantSplit/>
        </w:trPr>
        <w:tc>
          <w:tcPr>
            <w:tcW w:type="dxa" w:w="235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Gap 3: 18 hits / 120 exposures</w:t>
            </w:r>
          </w:p>
        </w:tc>
        <w:tc>
          <w:tcPr>
            <w:tcW w:type="dxa" w:w="1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15.00%</w:t>
            </w:r>
          </w:p>
        </w:tc>
        <w:tc>
          <w:tcPr>
            <w:tcW w:type="dxa" w:w="305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(18 + 0.2449) ÷ 122 = 14.95%</w:t>
            </w:r>
          </w:p>
        </w:tc>
        <w:tc>
          <w:tcPr>
            <w:tcW w:type="dxa" w:w="27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Large support, so the adjustment is small.</w:t>
            </w:r>
          </w:p>
        </w:tc>
      </w:tr>
      <w:tr>
        <w:trPr>
          <w:cantSplit/>
        </w:trPr>
        <w:tc>
          <w:tcPr>
            <w:tcW w:type="dxa" w:w="235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Gap 14: 1 hit / 2 exposures</w:t>
            </w:r>
          </w:p>
        </w:tc>
        <w:tc>
          <w:tcPr>
            <w:tcW w:type="dxa" w:w="1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50.00%</w:t>
            </w:r>
          </w:p>
        </w:tc>
        <w:tc>
          <w:tcPr>
            <w:tcW w:type="dxa" w:w="305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 + 0.2449) ÷ 4 = 31.12%</w:t>
            </w:r>
          </w:p>
        </w:tc>
        <w:tc>
          <w:tcPr>
            <w:tcW w:type="dxa" w:w="27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Tiny support, so the estimate moves toward 12.24%.</w:t>
            </w:r>
          </w:p>
        </w:tc>
      </w:tr>
      <w:tr>
        <w:trPr>
          <w:cantSplit/>
        </w:trPr>
        <w:tc>
          <w:tcPr>
            <w:tcW w:type="dxa" w:w="235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Unseen gap: 0 / 0</w:t>
            </w:r>
          </w:p>
        </w:tc>
        <w:tc>
          <w:tcPr>
            <w:tcW w:type="dxa" w:w="1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Undefined</w:t>
            </w:r>
          </w:p>
        </w:tc>
        <w:tc>
          <w:tcPr>
            <w:tcW w:type="dxa" w:w="305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0.2449 ÷ 2 = 12.24%</w:t>
            </w:r>
          </w:p>
        </w:tc>
        <w:tc>
          <w:tcPr>
            <w:tcW w:type="dxa" w:w="27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No evidence means the neutral rate.</w:t>
            </w:r>
          </w:p>
        </w:tc>
      </w:tr>
    </w:tbl>
    <w:p>
      <w:pPr>
        <w:spacing w:before="0" w:after="40"/>
      </w:pPr>
    </w:p>
    <w:p>
      <w:pPr>
        <w:spacing w:before="120" w:after="180"/>
        <w:ind w:left="173" w:right="173"/>
        <w:shd w:fill="F4F6F9" w:val="clear"/>
        <w:pBdr>
          <w:top w:val="single" w:sz="6" w:space="4" w:color="2E74B5"/>
          <w:left w:val="single" w:sz="6" w:space="4" w:color="2E74B5"/>
          <w:bottom w:val="single" w:sz="6" w:space="4" w:color="2E74B5"/>
          <w:right w:val="single" w:sz="6" w:space="4" w:color="2E74B5"/>
        </w:pBdr>
      </w:pPr>
      <w:r>
        <w:rPr>
          <w:rFonts w:ascii="Calibri" w:hAnsi="Calibri"/>
          <w:b/>
          <w:color w:val="2E74B5"/>
        </w:rPr>
        <w:t xml:space="preserve">Support changes confidence, not just the percentage: </w:t>
      </w:r>
      <w:r>
        <w:rPr>
          <w:rFonts w:ascii="Calibri" w:hAnsi="Calibri"/>
          <w:color w:val="20252B"/>
        </w:rPr>
        <w:t>Two gap states can show similar probabilities, but the one based on 500 exposures is more stable than the one based on 8. Always read support together with probability when support is available.</w:t>
      </w:r>
    </w:p>
    <w:p>
      <w:pPr>
        <w:pStyle w:val="Heading1"/>
        <w:pageBreakBefore/>
      </w:pPr>
      <w:r>
        <w:t>3. How Rand AI implements Freshness</w:t>
      </w:r>
    </w:p>
    <w:p>
      <w:pPr>
        <w:spacing w:after="200"/>
      </w:pPr>
      <w:r>
        <w:rPr>
          <w:rFonts w:ascii="Calibri" w:hAnsi="Calibri"/>
          <w:i/>
          <w:color w:val="1F4D78"/>
          <w:sz w:val="22"/>
        </w:rPr>
        <w:t>The implementation is incremental: it carries only the counts and the last known appearance of each number as it moves through history.</w:t>
      </w:r>
    </w:p>
    <w:p>
      <w:pPr>
        <w:pStyle w:val="Heading2"/>
      </w:pPr>
      <w:r>
        <w:t>3.1 Main state kept in memory</w:t>
      </w:r>
    </w:p>
    <w:tbl>
      <w:tblPr>
        <w:tblStyle w:val="TableGrid"/>
        <w:tblW w:type="dxa" w:w="9360"/>
        <w:jc w:val="left"/>
        <w:tblLayout w:type="fixed"/>
        <w:tblLook w:firstColumn="1" w:firstRow="1" w:lastColumn="0" w:lastRow="0" w:noHBand="0" w:noVBand="1" w:val="04A0"/>
        <w:tblInd w:type="dxa" w:w="120"/>
      </w:tblPr>
      <w:tblGrid>
        <w:gridCol w:w="3200"/>
        <w:gridCol w:w="6160"/>
      </w:tblGrid>
      <w:tr>
        <w:trPr>
          <w:tblHeader w:val="true"/>
          <w:cantSplit/>
        </w:trPr>
        <w:tc>
          <w:tcPr>
            <w:tcW w:type="dxa" w:w="32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Program state</w:t>
            </w:r>
          </w:p>
        </w:tc>
        <w:tc>
          <w:tcPr>
            <w:tcW w:type="dxa" w:w="61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Purpose</w:t>
            </w:r>
          </w:p>
        </w:tc>
      </w:tr>
      <w:tr>
        <w:trPr>
          <w:cantSplit/>
        </w:trPr>
        <w:tc>
          <w:tcPr>
            <w:tcW w:type="dxa" w:w="3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last_seen[1…49]</w:t>
            </w:r>
          </w:p>
        </w:tc>
        <w:tc>
          <w:tcPr>
            <w:tcW w:type="dxa" w:w="61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Stores the draw index where each number was most recently observed.</w:t>
            </w:r>
          </w:p>
        </w:tc>
      </w:tr>
      <w:tr>
        <w:trPr>
          <w:cantSplit/>
        </w:trPr>
        <w:tc>
          <w:tcPr>
            <w:tcW w:type="dxa" w:w="3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freshness_counts[gap] = [hits, exposures]</w:t>
            </w:r>
          </w:p>
        </w:tc>
        <w:tc>
          <w:tcPr>
            <w:tcW w:type="dxa" w:w="61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Stores the shared evidence for every exact gap that has actually occurred.</w:t>
            </w:r>
          </w:p>
        </w:tc>
      </w:tr>
      <w:tr>
        <w:trPr>
          <w:cantSplit/>
        </w:trPr>
        <w:tc>
          <w:tcPr>
            <w:tcW w:type="dxa" w:w="3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BASE_HIT_RATE = 6/49</w:t>
            </w:r>
          </w:p>
        </w:tc>
        <w:tc>
          <w:tcPr>
            <w:tcW w:type="dxa" w:w="61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Supplies the neutral prior used by smoothing.</w:t>
            </w:r>
          </w:p>
        </w:tc>
      </w:tr>
      <w:tr>
        <w:trPr>
          <w:cantSplit/>
        </w:trPr>
        <w:tc>
          <w:tcPr>
            <w:tcW w:type="dxa" w:w="3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PRIOR_STRENGTH = 2</w:t>
            </w:r>
          </w:p>
        </w:tc>
        <w:tc>
          <w:tcPr>
            <w:tcW w:type="dxa" w:w="61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Controls how strongly an estimate with little evidence is pulled toward 6/49.</w:t>
            </w:r>
          </w:p>
        </w:tc>
      </w:tr>
    </w:tbl>
    <w:p>
      <w:pPr>
        <w:spacing w:before="0" w:after="40"/>
      </w:pPr>
    </w:p>
    <w:p>
      <w:pPr>
        <w:pStyle w:val="Heading2"/>
      </w:pPr>
      <w:r>
        <w:t>3.2 Walk-forward sequence</w:t>
      </w:r>
    </w:p>
    <w:tbl>
      <w:tblPr>
        <w:tblStyle w:val="TableGrid"/>
        <w:tblW w:type="dxa" w:w="9360"/>
        <w:jc w:val="left"/>
        <w:tblLayout w:type="fixed"/>
        <w:tblLook w:firstColumn="1" w:firstRow="1" w:lastColumn="0" w:lastRow="0" w:noHBand="0" w:noVBand="1" w:val="04A0"/>
        <w:tblInd w:type="dxa" w:w="120"/>
      </w:tblPr>
      <w:tblGrid>
        <w:gridCol w:w="1900"/>
        <w:gridCol w:w="2600"/>
        <w:gridCol w:w="4860"/>
      </w:tblGrid>
      <w:tr>
        <w:trPr>
          <w:tblHeader w:val="true"/>
          <w:cantSplit/>
        </w:trPr>
        <w:tc>
          <w:tcPr>
            <w:tcW w:type="dxa" w:w="19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Moment</w:t>
            </w:r>
          </w:p>
        </w:tc>
        <w:tc>
          <w:tcPr>
            <w:tcW w:type="dxa" w:w="26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Known to the model</w:t>
            </w:r>
          </w:p>
        </w:tc>
        <w:tc>
          <w:tcPr>
            <w:tcW w:type="dxa" w:w="48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Action</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Before historical draw t</w:t>
            </w:r>
          </w:p>
        </w:tc>
        <w:tc>
          <w:tcPr>
            <w:tcW w:type="dxa" w:w="26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Draws 1 through t−1</w:t>
            </w:r>
          </w:p>
        </w:tc>
        <w:tc>
          <w:tcPr>
            <w:tcW w:type="dxa" w:w="48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Compute gaps and learn whether draw t was D or !D.</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After observing draw t</w:t>
            </w:r>
          </w:p>
        </w:tc>
        <w:tc>
          <w:tcPr>
            <w:tcW w:type="dxa" w:w="26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Draws 1 through t</w:t>
            </w:r>
          </w:p>
        </w:tc>
        <w:tc>
          <w:tcPr>
            <w:tcW w:type="dxa" w:w="48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Update last-seen positions.</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Prediction for draw t+1</w:t>
            </w:r>
          </w:p>
        </w:tc>
        <w:tc>
          <w:tcPr>
            <w:tcW w:type="dxa" w:w="26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Still only draws 1 through t</w:t>
            </w:r>
          </w:p>
        </w:tc>
        <w:tc>
          <w:tcPr>
            <w:tcW w:type="dxa" w:w="48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Look up each current exact gap and rank all 49 numbers.</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Later, when t+1 is known</w:t>
            </w:r>
          </w:p>
        </w:tc>
        <w:tc>
          <w:tcPr>
            <w:tcW w:type="dxa" w:w="26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Draws 1 through t+1</w:t>
            </w:r>
          </w:p>
        </w:tc>
        <w:tc>
          <w:tcPr>
            <w:tcW w:type="dxa" w:w="48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Use it as a training outcome for the next step.</w:t>
            </w:r>
          </w:p>
        </w:tc>
      </w:tr>
    </w:tbl>
    <w:p>
      <w:pPr>
        <w:spacing w:before="0" w:after="40"/>
      </w:pPr>
    </w:p>
    <w:p>
      <w:pPr>
        <w:spacing w:before="120" w:after="180"/>
        <w:ind w:left="173" w:right="173"/>
        <w:shd w:fill="EAF5EF" w:val="clear"/>
        <w:pBdr>
          <w:top w:val="single" w:sz="6" w:space="4" w:color="246B4A"/>
          <w:left w:val="single" w:sz="6" w:space="4" w:color="246B4A"/>
          <w:bottom w:val="single" w:sz="6" w:space="4" w:color="246B4A"/>
          <w:right w:val="single" w:sz="6" w:space="4" w:color="246B4A"/>
        </w:pBdr>
      </w:pPr>
      <w:r>
        <w:rPr>
          <w:rFonts w:ascii="Calibri" w:hAnsi="Calibri"/>
          <w:b/>
          <w:color w:val="246B4A"/>
        </w:rPr>
        <w:t xml:space="preserve">No future leakage: </w:t>
      </w:r>
      <w:r>
        <w:rPr>
          <w:rFonts w:ascii="Calibri" w:hAnsi="Calibri"/>
          <w:color w:val="20252B"/>
        </w:rPr>
        <w:t>The actual numbers of draw t+1 may be stored later for evaluation, but they are not used to create the prediction for t+1.</w:t>
      </w:r>
    </w:p>
    <w:p>
      <w:pPr>
        <w:pStyle w:val="Heading2"/>
      </w:pPr>
      <w:r>
        <w:t>3.3 From probability to the displayed score</w:t>
      </w:r>
    </w:p>
    <w:p>
      <w:r>
        <w:t>The Fresh strategy first obtains the smoothed hit probability for each number’s current gap. It then rescales the 49 probabilities so that the smallest becomes 0 and the largest becomes 1.</w:t>
      </w:r>
    </w:p>
    <w:p>
      <w:pPr>
        <w:spacing w:before="100" w:after="80"/>
        <w:jc w:val="center"/>
        <w:shd w:fill="F2F4F7" w:val="clear"/>
      </w:pPr>
      <w:r>
        <w:rPr>
          <w:rFonts w:ascii="Consolas" w:hAnsi="Consolas"/>
          <w:b/>
          <w:color w:val="0B2545"/>
          <w:sz w:val="21"/>
        </w:rPr>
        <w:t>display score = (probability − smallest probability) ÷ (largest − smallest)</w:t>
      </w:r>
    </w:p>
    <w:p>
      <w:pPr>
        <w:spacing w:after="180"/>
        <w:jc w:val="center"/>
      </w:pPr>
      <w:r>
        <w:rPr>
          <w:rFonts w:ascii="Calibri" w:hAnsi="Calibri"/>
          <w:i/>
          <w:color w:val="5F6B76"/>
          <w:sz w:val="19"/>
        </w:rPr>
        <w:t>If every probability is identical, Rand AI assigns score 0 to all numbers.</w:t>
      </w:r>
    </w:p>
    <w:p>
      <w:r>
        <w:t>This score is a relative position inside the current set of 49 numbers. A score of 0.80 is not an 80% chance of being drawn. The literal model estimate is the field named Hit probability.</w:t>
      </w:r>
    </w:p>
    <w:p>
      <w:pPr>
        <w:pStyle w:val="Heading2"/>
      </w:pPr>
      <w:r>
        <w:t>3.4 Ranking and tie-breaking</w:t>
      </w:r>
    </w:p>
    <w:p>
      <w:pPr>
        <w:numPr>
          <w:ilvl w:val="0"/>
          <w:numId w:val="13"/>
        </w:numPr>
      </w:pPr>
      <w:r>
        <w:rPr>
          <w:rFonts w:ascii="Calibri" w:hAnsi="Calibri"/>
        </w:rPr>
        <w:t>Higher normalized Fresh score ranks first.</w:t>
      </w:r>
    </w:p>
    <w:p>
      <w:pPr>
        <w:numPr>
          <w:ilvl w:val="0"/>
          <w:numId w:val="13"/>
        </w:numPr>
      </w:pPr>
      <w:r>
        <w:rPr>
          <w:rFonts w:ascii="Calibri" w:hAnsi="Calibri"/>
        </w:rPr>
        <w:t>If scores tie, the larger current gap ranks first.</w:t>
      </w:r>
    </w:p>
    <w:p>
      <w:pPr>
        <w:numPr>
          <w:ilvl w:val="0"/>
          <w:numId w:val="13"/>
        </w:numPr>
      </w:pPr>
      <w:r>
        <w:rPr>
          <w:rFonts w:ascii="Calibri" w:hAnsi="Calibri"/>
        </w:rPr>
        <w:t>If score and gap both tie, the smaller number ranks first.</w:t>
      </w:r>
    </w:p>
    <w:p>
      <w:r>
        <w:t>The first six ranked numbers become the strategy’s Top 6. These rules make the result stable and repeatable when several numbers have the same evidence.</w:t>
      </w:r>
    </w:p>
    <w:p>
      <w:pPr>
        <w:pStyle w:val="Heading2"/>
      </w:pPr>
      <w:r>
        <w:t>3.5 Compact pseudocode</w:t>
      </w:r>
    </w:p>
    <w:p>
      <w:pPr>
        <w:spacing w:before="100" w:after="80"/>
        <w:jc w:val="center"/>
        <w:shd w:fill="F2F4F7" w:val="clear"/>
      </w:pPr>
      <w:r>
        <w:rPr>
          <w:rFonts w:ascii="Consolas" w:hAnsi="Consolas"/>
          <w:b/>
          <w:color w:val="0B2545"/>
          <w:sz w:val="21"/>
        </w:rPr>
        <w:t>for each draw: learn(gap → outcome); remember(drawn numbers); for each number: probability = smoothed_rate(counts[current_gap]); rank</w:t>
      </w:r>
    </w:p>
    <w:p>
      <w:pPr>
        <w:spacing w:after="180"/>
        <w:jc w:val="center"/>
      </w:pPr>
      <w:r>
        <w:rPr>
          <w:rFonts w:ascii="Calibri" w:hAnsi="Calibri"/>
          <w:i/>
          <w:color w:val="5F6B76"/>
          <w:sz w:val="19"/>
        </w:rPr>
        <w:t>This is a readable summary, not a line-for-line copy of the Python source.</w:t>
      </w:r>
    </w:p>
    <w:p>
      <w:r>
        <w:t>The core implementation is in src/rand_ai/prediction.py. The named Fresh strategy and score normalization are assembled in src/rand_ai/strategy_prediction.py.</w:t>
      </w:r>
    </w:p>
    <w:p>
      <w:pPr>
        <w:pStyle w:val="Heading1"/>
        <w:pageBreakBefore/>
      </w:pPr>
      <w:r>
        <w:t>4. How to interpret the results</w:t>
      </w:r>
    </w:p>
    <w:p>
      <w:pPr>
        <w:spacing w:after="200"/>
      </w:pPr>
      <w:r>
        <w:rPr>
          <w:rFonts w:ascii="Calibri" w:hAnsi="Calibri"/>
          <w:i/>
          <w:color w:val="1F4D78"/>
          <w:sz w:val="22"/>
        </w:rPr>
        <w:t>Read the fields in a fixed order: state, evidence-based estimate, relative score, then rank.</w:t>
      </w:r>
    </w:p>
    <w:tbl>
      <w:tblPr>
        <w:tblStyle w:val="TableGrid"/>
        <w:tblW w:type="dxa" w:w="9360"/>
        <w:jc w:val="left"/>
        <w:tblLayout w:type="fixed"/>
        <w:tblLook w:firstColumn="1" w:firstRow="1" w:lastColumn="0" w:lastRow="0" w:noHBand="0" w:noVBand="1" w:val="04A0"/>
        <w:tblInd w:type="dxa" w:w="120"/>
      </w:tblPr>
      <w:tblGrid>
        <w:gridCol w:w="1800"/>
        <w:gridCol w:w="4260"/>
        <w:gridCol w:w="3300"/>
      </w:tblGrid>
      <w:tr>
        <w:trPr>
          <w:tblHeader w:val="true"/>
          <w:cantSplit/>
        </w:trPr>
        <w:tc>
          <w:tcPr>
            <w:tcW w:type="dxa" w:w="18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Displayed item</w:t>
            </w:r>
          </w:p>
        </w:tc>
        <w:tc>
          <w:tcPr>
            <w:tcW w:type="dxa" w:w="42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Correct interpretation</w:t>
            </w:r>
          </w:p>
        </w:tc>
        <w:tc>
          <w:tcPr>
            <w:tcW w:type="dxa" w:w="33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Common mistake</w:t>
            </w:r>
          </w:p>
        </w:tc>
      </w:tr>
      <w:tr>
        <w:trPr>
          <w:cantSplit/>
        </w:trPr>
        <w:tc>
          <w:tcPr>
            <w:tcW w:type="dxa" w:w="1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Gap 7</w:t>
            </w:r>
          </w:p>
        </w:tc>
        <w:tc>
          <w:tcPr>
            <w:tcW w:type="dxa" w:w="42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Seven complete draws have passed since this number last appeared.</w:t>
            </w:r>
          </w:p>
        </w:tc>
        <w:tc>
          <w:tcPr>
            <w:tcW w:type="dxa" w:w="33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“It must appear now.”</w:t>
            </w:r>
          </w:p>
        </w:tc>
      </w:tr>
      <w:tr>
        <w:trPr>
          <w:cantSplit/>
        </w:trPr>
        <w:tc>
          <w:tcPr>
            <w:tcW w:type="dxa" w:w="18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Hit probability 13.80%</w:t>
            </w:r>
          </w:p>
        </w:tc>
        <w:tc>
          <w:tcPr>
            <w:tcW w:type="dxa" w:w="42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The smoothed historical rate for exact gap 7.</w:t>
            </w:r>
          </w:p>
        </w:tc>
        <w:tc>
          <w:tcPr>
            <w:tcW w:type="dxa" w:w="33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“The lottery guarantees 13.80%.”</w:t>
            </w:r>
          </w:p>
        </w:tc>
      </w:tr>
      <w:tr>
        <w:trPr>
          <w:cantSplit/>
        </w:trPr>
        <w:tc>
          <w:tcPr>
            <w:tcW w:type="dxa" w:w="1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Score 0.76</w:t>
            </w:r>
          </w:p>
        </w:tc>
        <w:tc>
          <w:tcPr>
            <w:tcW w:type="dxa" w:w="42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Relative position between the current minimum and maximum Fresh probabilities.</w:t>
            </w:r>
          </w:p>
        </w:tc>
        <w:tc>
          <w:tcPr>
            <w:tcW w:type="dxa" w:w="33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“There is a 76% chance.”</w:t>
            </w:r>
          </w:p>
        </w:tc>
      </w:tr>
      <w:tr>
        <w:trPr>
          <w:cantSplit/>
        </w:trPr>
        <w:tc>
          <w:tcPr>
            <w:tcW w:type="dxa" w:w="18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Rank 4</w:t>
            </w:r>
          </w:p>
        </w:tc>
        <w:tc>
          <w:tcPr>
            <w:tcW w:type="dxa" w:w="42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Fourth according to Fresh after tie-break rules.</w:t>
            </w:r>
          </w:p>
        </w:tc>
        <w:tc>
          <w:tcPr>
            <w:tcW w:type="dxa" w:w="33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“Fourth most likely in an objective sense.”</w:t>
            </w:r>
          </w:p>
        </w:tc>
      </w:tr>
      <w:tr>
        <w:trPr>
          <w:cantSplit/>
        </w:trPr>
        <w:tc>
          <w:tcPr>
            <w:tcW w:type="dxa" w:w="1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Top 6</w:t>
            </w:r>
          </w:p>
        </w:tc>
        <w:tc>
          <w:tcPr>
            <w:tcW w:type="dxa" w:w="42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The six highest-ranked candidates under this one strategy.</w:t>
            </w:r>
          </w:p>
        </w:tc>
        <w:tc>
          <w:tcPr>
            <w:tcW w:type="dxa" w:w="33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“A predicted winning ticket.”</w:t>
            </w:r>
          </w:p>
        </w:tc>
      </w:tr>
    </w:tbl>
    <w:p>
      <w:pPr>
        <w:spacing w:before="0" w:after="40"/>
      </w:pPr>
    </w:p>
    <w:p>
      <w:pPr>
        <w:pStyle w:val="Heading2"/>
      </w:pPr>
      <w:r>
        <w:t>4.1 A worked reading example</w:t>
      </w:r>
    </w:p>
    <w:tbl>
      <w:tblPr>
        <w:tblStyle w:val="TableGrid"/>
        <w:tblW w:type="dxa" w:w="9360"/>
        <w:jc w:val="left"/>
        <w:tblLayout w:type="fixed"/>
        <w:tblLook w:firstColumn="1" w:firstRow="1" w:lastColumn="0" w:lastRow="0" w:noHBand="0" w:noVBand="1" w:val="04A0"/>
        <w:tblInd w:type="dxa" w:w="120"/>
      </w:tblPr>
      <w:tblGrid>
        <w:gridCol w:w="1000"/>
        <w:gridCol w:w="900"/>
        <w:gridCol w:w="1700"/>
        <w:gridCol w:w="1000"/>
        <w:gridCol w:w="4760"/>
      </w:tblGrid>
      <w:tr>
        <w:trPr>
          <w:tblHeader w:val="true"/>
          <w:cantSplit/>
        </w:trPr>
        <w:tc>
          <w:tcPr>
            <w:tcW w:type="dxa" w:w="10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Number</w:t>
            </w:r>
          </w:p>
        </w:tc>
        <w:tc>
          <w:tcPr>
            <w:tcW w:type="dxa" w:w="9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Gap</w:t>
            </w:r>
          </w:p>
        </w:tc>
        <w:tc>
          <w:tcPr>
            <w:tcW w:type="dxa" w:w="17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Hit probability</w:t>
            </w:r>
          </w:p>
        </w:tc>
        <w:tc>
          <w:tcPr>
            <w:tcW w:type="dxa" w:w="10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Score</w:t>
            </w:r>
          </w:p>
        </w:tc>
        <w:tc>
          <w:tcPr>
            <w:tcW w:type="dxa" w:w="47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Interpretation</w:t>
            </w:r>
          </w:p>
        </w:tc>
      </w:tr>
      <w:tr>
        <w:trPr>
          <w:cantSplit/>
        </w:trPr>
        <w:tc>
          <w:tcPr>
            <w:tcW w:type="dxa" w:w="10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8</w:t>
            </w:r>
          </w:p>
        </w:tc>
        <w:tc>
          <w:tcPr>
            <w:tcW w:type="dxa" w:w="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0</w:t>
            </w:r>
          </w:p>
        </w:tc>
        <w:tc>
          <w:tcPr>
            <w:tcW w:type="dxa" w:w="17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11.90%</w:t>
            </w:r>
          </w:p>
        </w:tc>
        <w:tc>
          <w:tcPr>
            <w:tcW w:type="dxa" w:w="10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0.10</w:t>
            </w:r>
          </w:p>
        </w:tc>
        <w:tc>
          <w:tcPr>
            <w:tcW w:type="dxa" w:w="47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Recent appearance; its gap-0 history is near the low end today.</w:t>
            </w:r>
          </w:p>
        </w:tc>
      </w:tr>
      <w:tr>
        <w:trPr>
          <w:cantSplit/>
        </w:trPr>
        <w:tc>
          <w:tcPr>
            <w:tcW w:type="dxa" w:w="10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21</w:t>
            </w:r>
          </w:p>
        </w:tc>
        <w:tc>
          <w:tcPr>
            <w:tcW w:type="dxa" w:w="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3</w:t>
            </w:r>
          </w:p>
        </w:tc>
        <w:tc>
          <w:tcPr>
            <w:tcW w:type="dxa" w:w="17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14.95%</w:t>
            </w:r>
          </w:p>
        </w:tc>
        <w:tc>
          <w:tcPr>
            <w:tcW w:type="dxa" w:w="10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1.00</w:t>
            </w:r>
          </w:p>
        </w:tc>
        <w:tc>
          <w:tcPr>
            <w:tcW w:type="dxa" w:w="47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Its current gap maps to the largest Fresh probability among the 49.</w:t>
            </w:r>
          </w:p>
        </w:tc>
      </w:tr>
      <w:tr>
        <w:trPr>
          <w:cantSplit/>
        </w:trPr>
        <w:tc>
          <w:tcPr>
            <w:tcW w:type="dxa" w:w="10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37</w:t>
            </w:r>
          </w:p>
        </w:tc>
        <w:tc>
          <w:tcPr>
            <w:tcW w:type="dxa" w:w="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9</w:t>
            </w:r>
          </w:p>
        </w:tc>
        <w:tc>
          <w:tcPr>
            <w:tcW w:type="dxa" w:w="17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13.10%</w:t>
            </w:r>
          </w:p>
        </w:tc>
        <w:tc>
          <w:tcPr>
            <w:tcW w:type="dxa" w:w="10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0.45</w:t>
            </w:r>
          </w:p>
        </w:tc>
        <w:tc>
          <w:tcPr>
            <w:tcW w:type="dxa" w:w="47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Middle of the current Fresh range.</w:t>
            </w:r>
          </w:p>
        </w:tc>
      </w:tr>
    </w:tbl>
    <w:p>
      <w:pPr>
        <w:spacing w:before="0" w:after="40"/>
      </w:pPr>
    </w:p>
    <w:p>
      <w:r>
        <w:t>In this example, number 21 ranks above number 37 because the shared gap-3 row has a higher smoothed historical rate than the shared gap-9 row. The number’s identity is not part of the Fresh probability; its current gap is.</w:t>
      </w:r>
    </w:p>
    <w:p>
      <w:pPr>
        <w:pStyle w:val="Heading2"/>
      </w:pPr>
      <w:r>
        <w:t>4.2 What a high Fresh score really says</w:t>
      </w:r>
    </w:p>
    <w:p>
      <w:pPr>
        <w:numPr>
          <w:ilvl w:val="0"/>
          <w:numId w:val="10"/>
        </w:numPr>
      </w:pPr>
      <w:r>
        <w:rPr>
          <w:rFonts w:ascii="Calibri" w:hAnsi="Calibri"/>
        </w:rPr>
        <w:t>The number currently belongs to a gap state that performed relatively well in the loaded history.</w:t>
      </w:r>
    </w:p>
    <w:p>
      <w:pPr>
        <w:numPr>
          <w:ilvl w:val="0"/>
          <w:numId w:val="10"/>
        </w:numPr>
      </w:pPr>
      <w:r>
        <w:rPr>
          <w:rFonts w:ascii="Calibri" w:hAnsi="Calibri"/>
        </w:rPr>
        <w:t>Its gap state may have strong or weak support; the score alone does not show that distinction.</w:t>
      </w:r>
    </w:p>
    <w:p>
      <w:pPr>
        <w:numPr>
          <w:ilvl w:val="0"/>
          <w:numId w:val="10"/>
        </w:numPr>
      </w:pPr>
      <w:r>
        <w:rPr>
          <w:rFonts w:ascii="Calibri" w:hAnsi="Calibri"/>
        </w:rPr>
        <w:t>Another strategy can rank the same number very differently because it studies different information.</w:t>
      </w:r>
    </w:p>
    <w:p>
      <w:pPr>
        <w:numPr>
          <w:ilvl w:val="0"/>
          <w:numId w:val="10"/>
        </w:numPr>
      </w:pPr>
      <w:r>
        <w:rPr>
          <w:rFonts w:ascii="Calibri" w:hAnsi="Calibri"/>
        </w:rPr>
        <w:t>The result is conditional on the chosen history file and its ordering.</w:t>
      </w:r>
    </w:p>
    <w:p>
      <w:pPr>
        <w:spacing w:before="120" w:after="180"/>
        <w:ind w:left="173" w:right="173"/>
        <w:shd w:fill="EAF5EF" w:val="clear"/>
        <w:pBdr>
          <w:top w:val="single" w:sz="6" w:space="4" w:color="246B4A"/>
          <w:left w:val="single" w:sz="6" w:space="4" w:color="246B4A"/>
          <w:bottom w:val="single" w:sz="6" w:space="4" w:color="246B4A"/>
          <w:right w:val="single" w:sz="6" w:space="4" w:color="246B4A"/>
        </w:pBdr>
      </w:pPr>
      <w:r>
        <w:rPr>
          <w:rFonts w:ascii="Calibri" w:hAnsi="Calibri"/>
          <w:b/>
          <w:color w:val="246B4A"/>
        </w:rPr>
        <w:t xml:space="preserve">Best short sentence: </w:t>
      </w:r>
      <w:r>
        <w:rPr>
          <w:rFonts w:ascii="Calibri" w:hAnsi="Calibri"/>
          <w:color w:val="20252B"/>
        </w:rPr>
        <w:t>“Fresh ranks numbers by the historical next-draw rate of their current exact waiting time.”</w:t>
      </w:r>
    </w:p>
    <w:p>
      <w:pPr>
        <w:pStyle w:val="Heading1"/>
        <w:pageBreakBefore/>
      </w:pPr>
      <w:r>
        <w:t>5. Strengths, limits, and responsible use</w:t>
      </w:r>
    </w:p>
    <w:p>
      <w:pPr>
        <w:spacing w:after="200"/>
      </w:pPr>
      <w:r>
        <w:rPr>
          <w:rFonts w:ascii="Calibri" w:hAnsi="Calibri"/>
          <w:i/>
          <w:color w:val="1F4D78"/>
          <w:sz w:val="22"/>
        </w:rPr>
        <w:t>Freshness is useful as a transparent historical lens. Transparency does not turn random draws into a predictable process.</w:t>
      </w:r>
    </w:p>
    <w:p>
      <w:pPr>
        <w:pStyle w:val="Heading2"/>
      </w:pPr>
      <w:r>
        <w:t>5.1 Strengths</w:t>
      </w:r>
    </w:p>
    <w:p>
      <w:pPr>
        <w:numPr>
          <w:ilvl w:val="0"/>
          <w:numId w:val="10"/>
        </w:numPr>
      </w:pPr>
      <w:r>
        <w:rPr>
          <w:rFonts w:ascii="Calibri" w:hAnsi="Calibri"/>
        </w:rPr>
        <w:t>Simple state: the current gap is easy to understand and verify.</w:t>
      </w:r>
    </w:p>
    <w:p>
      <w:pPr>
        <w:numPr>
          <w:ilvl w:val="0"/>
          <w:numId w:val="10"/>
        </w:numPr>
      </w:pPr>
      <w:r>
        <w:rPr>
          <w:rFonts w:ascii="Calibri" w:hAnsi="Calibri"/>
        </w:rPr>
        <w:t>Walk-forward learning avoids using a future answer in an earlier prediction.</w:t>
      </w:r>
    </w:p>
    <w:p>
      <w:pPr>
        <w:numPr>
          <w:ilvl w:val="0"/>
          <w:numId w:val="10"/>
        </w:numPr>
      </w:pPr>
      <w:r>
        <w:rPr>
          <w:rFonts w:ascii="Calibri" w:hAnsi="Calibri"/>
        </w:rPr>
        <w:t>Pooling all 49 numbers provides much more evidence for common gap values.</w:t>
      </w:r>
    </w:p>
    <w:p>
      <w:pPr>
        <w:numPr>
          <w:ilvl w:val="0"/>
          <w:numId w:val="10"/>
        </w:numPr>
      </w:pPr>
      <w:r>
        <w:rPr>
          <w:rFonts w:ascii="Calibri" w:hAnsi="Calibri"/>
        </w:rPr>
        <w:t>Smoothing prevents most tiny samples from becoming immediate 0% or 100% claims.</w:t>
      </w:r>
    </w:p>
    <w:p>
      <w:pPr>
        <w:numPr>
          <w:ilvl w:val="0"/>
          <w:numId w:val="10"/>
        </w:numPr>
      </w:pPr>
      <w:r>
        <w:rPr>
          <w:rFonts w:ascii="Calibri" w:hAnsi="Calibri"/>
        </w:rPr>
        <w:t>Deterministic ranking makes repeated runs on the same history reproducible.</w:t>
      </w:r>
    </w:p>
    <w:p>
      <w:pPr>
        <w:pStyle w:val="Heading2"/>
      </w:pPr>
      <w:r>
        <w:t>5.2 Limits</w:t>
      </w:r>
    </w:p>
    <w:p>
      <w:pPr>
        <w:numPr>
          <w:ilvl w:val="0"/>
          <w:numId w:val="10"/>
        </w:numPr>
      </w:pPr>
      <w:r>
        <w:rPr>
          <w:rFonts w:ascii="Calibri" w:hAnsi="Calibri"/>
        </w:rPr>
        <w:t>The shared table cannot learn that number 12 behaves differently from number 38 at the same gap.</w:t>
      </w:r>
    </w:p>
    <w:p>
      <w:pPr>
        <w:numPr>
          <w:ilvl w:val="0"/>
          <w:numId w:val="10"/>
        </w:numPr>
      </w:pPr>
      <w:r>
        <w:rPr>
          <w:rFonts w:ascii="Calibri" w:hAnsi="Calibri"/>
        </w:rPr>
        <w:t>Very large exact gaps remain sparse even after pooling.</w:t>
      </w:r>
    </w:p>
    <w:p>
      <w:pPr>
        <w:numPr>
          <w:ilvl w:val="0"/>
          <w:numId w:val="10"/>
        </w:numPr>
      </w:pPr>
      <w:r>
        <w:rPr>
          <w:rFonts w:ascii="Calibri" w:hAnsi="Calibri"/>
        </w:rPr>
        <w:t>Min–max scaling can make small probability differences look visually large.</w:t>
      </w:r>
    </w:p>
    <w:p>
      <w:pPr>
        <w:numPr>
          <w:ilvl w:val="0"/>
          <w:numId w:val="10"/>
        </w:numPr>
      </w:pPr>
      <w:r>
        <w:rPr>
          <w:rFonts w:ascii="Calibri" w:hAnsi="Calibri"/>
        </w:rPr>
        <w:t>Historical association is not a physical cause. Balls do not remember their previous gaps.</w:t>
      </w:r>
    </w:p>
    <w:p>
      <w:pPr>
        <w:numPr>
          <w:ilvl w:val="0"/>
          <w:numId w:val="10"/>
        </w:numPr>
      </w:pPr>
      <w:r>
        <w:rPr>
          <w:rFonts w:ascii="Calibri" w:hAnsi="Calibri"/>
        </w:rPr>
        <w:t>A fair lottery’s expected chance for one specified number remains 6/49 on each draw.</w:t>
      </w:r>
    </w:p>
    <w:p>
      <w:pPr>
        <w:pStyle w:val="Heading2"/>
      </w:pPr>
      <w:r>
        <w:t>5.3 Sensible evaluation</w:t>
      </w:r>
    </w:p>
    <w:p>
      <w:r>
        <w:t>To evaluate Fresh, create each historical prediction using only the draws that were available at that time. Then count how many of the next draw’s six numbers were in the predicted Top 6. Compare the long-run average with a baseline and report the number of tested draws. A short winning streak is not enough evidence.</w:t>
      </w:r>
    </w:p>
    <w:p>
      <w:pPr>
        <w:spacing w:before="120" w:after="180"/>
        <w:ind w:left="173" w:right="173"/>
        <w:shd w:fill="FFF7DD" w:val="clear"/>
        <w:pBdr>
          <w:top w:val="single" w:sz="6" w:space="4" w:color="7A5A00"/>
          <w:left w:val="single" w:sz="6" w:space="4" w:color="7A5A00"/>
          <w:bottom w:val="single" w:sz="6" w:space="4" w:color="7A5A00"/>
          <w:right w:val="single" w:sz="6" w:space="4" w:color="7A5A00"/>
        </w:pBdr>
      </w:pPr>
      <w:r>
        <w:rPr>
          <w:rFonts w:ascii="Calibri" w:hAnsi="Calibri"/>
          <w:b/>
          <w:color w:val="7A5A00"/>
        </w:rPr>
        <w:t xml:space="preserve">Random baseline: </w:t>
      </w:r>
      <w:r>
        <w:rPr>
          <w:rFonts w:ascii="Calibri" w:hAnsi="Calibri"/>
          <w:color w:val="20252B"/>
        </w:rPr>
        <w:t>If six numbers are selected at random from 49, the expected overlap with the next six drawn numbers is 6 × 6/49 ≈ 0.735 numbers per draw. Real results can move above or below this by chance.</w:t>
      </w:r>
    </w:p>
    <w:p>
      <w:pPr>
        <w:pStyle w:val="Heading1"/>
        <w:pageBreakBefore/>
      </w:pPr>
      <w:r>
        <w:t>Reference: checklist and glossary</w:t>
      </w:r>
    </w:p>
    <w:p>
      <w:pPr>
        <w:spacing w:after="200"/>
      </w:pPr>
      <w:r>
        <w:rPr>
          <w:rFonts w:ascii="Calibri" w:hAnsi="Calibri"/>
          <w:i/>
          <w:color w:val="1F4D78"/>
          <w:sz w:val="22"/>
        </w:rPr>
        <w:t>Use this page when explaining a Fresh result to someone else.</w:t>
      </w:r>
    </w:p>
    <w:p>
      <w:pPr>
        <w:pStyle w:val="Heading2"/>
      </w:pPr>
      <w:r>
        <w:t>A six-question interpretation checklist</w:t>
      </w:r>
    </w:p>
    <w:p>
      <w:pPr>
        <w:numPr>
          <w:ilvl w:val="0"/>
          <w:numId w:val="14"/>
        </w:numPr>
      </w:pPr>
      <w:r>
        <w:rPr>
          <w:rFonts w:ascii="Calibri" w:hAnsi="Calibri"/>
        </w:rPr>
        <w:t>What is the number’s current exact gap?</w:t>
      </w:r>
    </w:p>
    <w:p>
      <w:pPr>
        <w:numPr>
          <w:ilvl w:val="0"/>
          <w:numId w:val="14"/>
        </w:numPr>
      </w:pPr>
      <w:r>
        <w:rPr>
          <w:rFonts w:ascii="Calibri" w:hAnsi="Calibri"/>
        </w:rPr>
        <w:t>What smoothed Hit probability belongs to that gap?</w:t>
      </w:r>
    </w:p>
    <w:p>
      <w:pPr>
        <w:numPr>
          <w:ilvl w:val="0"/>
          <w:numId w:val="14"/>
        </w:numPr>
      </w:pPr>
      <w:r>
        <w:rPr>
          <w:rFonts w:ascii="Calibri" w:hAnsi="Calibri"/>
        </w:rPr>
        <w:t>How much historical support does that gap have?</w:t>
      </w:r>
    </w:p>
    <w:p>
      <w:pPr>
        <w:numPr>
          <w:ilvl w:val="0"/>
          <w:numId w:val="14"/>
        </w:numPr>
      </w:pPr>
      <w:r>
        <w:rPr>
          <w:rFonts w:ascii="Calibri" w:hAnsi="Calibri"/>
        </w:rPr>
        <w:t>Is the displayed value a probability or the normalized 0–1 score?</w:t>
      </w:r>
    </w:p>
    <w:p>
      <w:pPr>
        <w:numPr>
          <w:ilvl w:val="0"/>
          <w:numId w:val="14"/>
        </w:numPr>
      </w:pPr>
      <w:r>
        <w:rPr>
          <w:rFonts w:ascii="Calibri" w:hAnsi="Calibri"/>
        </w:rPr>
        <w:t>Was the prediction produced before the target draw was known?</w:t>
      </w:r>
    </w:p>
    <w:p>
      <w:pPr>
        <w:numPr>
          <w:ilvl w:val="0"/>
          <w:numId w:val="14"/>
        </w:numPr>
      </w:pPr>
      <w:r>
        <w:rPr>
          <w:rFonts w:ascii="Calibri" w:hAnsi="Calibri"/>
        </w:rPr>
        <w:t>How did the strategy perform over many walk-forward tests, not just one draw?</w:t>
      </w:r>
    </w:p>
    <w:p>
      <w:pPr>
        <w:pStyle w:val="Heading2"/>
      </w:pPr>
      <w:r>
        <w:t>Glossary</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cantSplit/>
        </w:trPr>
        <w:tc>
          <w:tcPr>
            <w:tcW w:type="dxa" w:w="19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Word</w:t>
            </w:r>
          </w:p>
        </w:tc>
        <w:tc>
          <w:tcPr>
            <w:tcW w:type="dxa" w:w="74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Meaning in Freshness</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Baseline</w:t>
            </w:r>
          </w:p>
        </w:tc>
        <w:tc>
          <w:tcPr>
            <w:tcW w:type="dxa" w:w="7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The neutral single-number rate 6/49, used as the prior.</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D / !D</w:t>
            </w:r>
          </w:p>
        </w:tc>
        <w:tc>
          <w:tcPr>
            <w:tcW w:type="dxa" w:w="7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Drawn / not drawn for one number in one draw.</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Exact state</w:t>
            </w:r>
          </w:p>
        </w:tc>
        <w:tc>
          <w:tcPr>
            <w:tcW w:type="dxa" w:w="7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A precise gap value, not a bucket such as “5–10.”</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Gap</w:t>
            </w:r>
          </w:p>
        </w:tc>
        <w:tc>
          <w:tcPr>
            <w:tcW w:type="dxa" w:w="7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Complete draws since the number’s last appearance.</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Hit</w:t>
            </w:r>
          </w:p>
        </w:tc>
        <w:tc>
          <w:tcPr>
            <w:tcW w:type="dxa" w:w="7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The number was D on the outcome draw.</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Prior</w:t>
            </w:r>
          </w:p>
        </w:tc>
        <w:tc>
          <w:tcPr>
            <w:tcW w:type="dxa" w:w="7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A small neutral starting belief used before much evidence exists.</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Smoothing</w:t>
            </w:r>
          </w:p>
        </w:tc>
        <w:tc>
          <w:tcPr>
            <w:tcW w:type="dxa" w:w="7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Combining observed counts with the prior to reduce extremes.</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Support</w:t>
            </w:r>
          </w:p>
        </w:tc>
        <w:tc>
          <w:tcPr>
            <w:tcW w:type="dxa" w:w="7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The exposure count behind one exact gap estimate.</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Walk-forward</w:t>
            </w:r>
          </w:p>
        </w:tc>
        <w:tc>
          <w:tcPr>
            <w:tcW w:type="dxa" w:w="7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Train on the past, predict the next step, then move forward.</w:t>
            </w:r>
          </w:p>
        </w:tc>
      </w:tr>
    </w:tbl>
    <w:p>
      <w:pPr>
        <w:spacing w:before="0" w:after="40"/>
      </w:pPr>
    </w:p>
    <w:p>
      <w:pPr>
        <w:spacing w:before="120" w:after="180"/>
        <w:ind w:left="173" w:right="173"/>
        <w:shd w:fill="F4F6F9" w:val="clear"/>
        <w:pBdr>
          <w:top w:val="single" w:sz="6" w:space="4" w:color="2E74B5"/>
          <w:left w:val="single" w:sz="6" w:space="4" w:color="2E74B5"/>
          <w:bottom w:val="single" w:sz="6" w:space="4" w:color="2E74B5"/>
          <w:right w:val="single" w:sz="6" w:space="4" w:color="2E74B5"/>
        </w:pBdr>
      </w:pPr>
      <w:r>
        <w:rPr>
          <w:rFonts w:ascii="Calibri" w:hAnsi="Calibri"/>
          <w:b/>
          <w:color w:val="2E74B5"/>
        </w:rPr>
        <w:t xml:space="preserve">Final takeaway: </w:t>
      </w:r>
      <w:r>
        <w:rPr>
          <w:rFonts w:ascii="Calibri" w:hAnsi="Calibri"/>
          <w:color w:val="20252B"/>
        </w:rPr>
        <w:t>Freshness is a gap-conditioned historical frequency model. Its most useful output is not a promise; it is a clear, reproducible ranking based on how exact waiting states behaved in the available past.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5F6B76"/>
        <w:sz w:val="18"/>
      </w:rPr>
      <w:t xml:space="preserve">Page </w:t>
    </w:r>
    <w:r>
      <w:rPr>
        <w:rFonts w:ascii="Calibri" w:hAnsi="Calibri"/>
        <w:color w:val="5F6B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b/>
        <w:color w:val="5F6B76"/>
        <w:sz w:val="18"/>
      </w:rPr>
      <w:t>Freshness Strategy</w:t>
    </w:r>
    <w:r>
      <w:rPr>
        <w:rFonts w:ascii="Calibri" w:hAnsi="Calibri"/>
        <w:color w:val="5F6B76"/>
        <w:sz w:val="17"/>
      </w:rPr>
      <w:tab/>
      <w:t>RAND AI ·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3">
    <w:abstractNumId w:val="12"/>
  </w:num>
  <w:abstractNum w:abstractNumId="13">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Freshness Strategy</dc:title>
  <dc:subject>How Rand AI learns from the number of draws since a number last appeared</dc:subject>
  <dc:creator>Rand AI documentation</dc:creator>
  <cp:keywords>Rand AI, lottery analysis, prediction strategy, educational guide</cp:keywords>
  <dc:description>generated by python-docx</dc:description>
  <cp:lastModifiedBy/>
  <cp:revision>1</cp:revision>
  <dcterms:created xsi:type="dcterms:W3CDTF">2013-12-23T23:15:00Z</dcterms:created>
  <dcterms:modified xsi:type="dcterms:W3CDTF">2013-12-23T23:15:00Z</dcterms:modified>
  <cp:category/>
</cp:coreProperties>
</file>