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40"/>
      </w:pPr>
    </w:p>
    <w:p>
      <w:pPr>
        <w:spacing w:after="360"/>
        <w:jc w:val="center"/>
      </w:pPr>
      <w:r>
        <w:rPr>
          <w:rFonts w:ascii="Calibri" w:hAnsi="Calibri"/>
          <w:b/>
          <w:color w:val="7A5A00"/>
          <w:sz w:val="21"/>
        </w:rPr>
        <w:t>RAND AI STRATEGY GUIDE</w:t>
      </w:r>
    </w:p>
    <w:p>
      <w:pPr>
        <w:spacing w:after="160"/>
        <w:jc w:val="center"/>
      </w:pPr>
      <w:r>
        <w:rPr>
          <w:rFonts w:ascii="Calibri" w:hAnsi="Calibri"/>
          <w:b/>
          <w:color w:val="0B2545"/>
          <w:sz w:val="60"/>
        </w:rPr>
        <w:t>Markov Freshness (MKFR)</w:t>
      </w:r>
    </w:p>
    <w:p>
      <w:pPr>
        <w:spacing w:after="560"/>
        <w:jc w:val="center"/>
      </w:pPr>
      <w:r>
        <w:rPr>
          <w:rFonts w:ascii="Calibri" w:hAnsi="Calibri"/>
          <w:color w:val="1F4D78"/>
          <w:sz w:val="30"/>
        </w:rPr>
        <w:t>How Rand AI learns D / !D transition patterns separately for every number</w:t>
      </w:r>
    </w:p>
    <w:p>
      <w:pPr>
        <w:spacing w:after="1800"/>
        <w:jc w:val="center"/>
      </w:pPr>
      <w:r>
        <w:rPr>
          <w:rFonts w:ascii="Calibri" w:hAnsi="Calibri"/>
          <w:i/>
          <w:color w:val="5F6B76"/>
          <w:sz w:val="21"/>
        </w:rPr>
        <w:t>A plain-language guide to the mathematics, program logic, and correct reading of the results</w:t>
      </w:r>
    </w:p>
    <w:p>
      <w:pPr>
        <w:spacing w:after="80"/>
        <w:jc w:val="center"/>
      </w:pPr>
      <w:r>
        <w:rPr>
          <w:rFonts w:ascii="Calibri" w:hAnsi="Calibri"/>
          <w:b/>
          <w:color w:val="5F6B76"/>
          <w:sz w:val="18"/>
        </w:rPr>
        <w:t>Prepared for</w:t>
      </w:r>
    </w:p>
    <w:p>
      <w:pPr>
        <w:spacing w:after="240"/>
        <w:jc w:val="center"/>
      </w:pPr>
      <w:r>
        <w:rPr>
          <w:rFonts w:ascii="Calibri" w:hAnsi="Calibri"/>
          <w:b/>
          <w:color w:val="0B2545"/>
          <w:sz w:val="23"/>
        </w:rPr>
        <w:t>Readers with high-school mathematics; no programming background required</w:t>
      </w:r>
    </w:p>
    <w:p>
      <w:pPr>
        <w:jc w:val="center"/>
      </w:pPr>
      <w:r>
        <w:rPr>
          <w:rFonts w:ascii="Calibri" w:hAnsi="Calibri"/>
          <w:color w:val="5F6B76"/>
          <w:sz w:val="19"/>
        </w:rPr>
        <w:t>Implementation reference: Rand AI · 25 July 2026</w:t>
      </w:r>
    </w:p>
    <w:p>
      <w:pPr>
        <w:pageBreakBefore/>
        <w:spacing w:after="100"/>
      </w:pPr>
      <w:r>
        <w:rPr>
          <w:rFonts w:ascii="Calibri" w:hAnsi="Calibri"/>
          <w:b/>
          <w:color w:val="0B2545"/>
          <w:sz w:val="40"/>
        </w:rPr>
        <w:t>CONTENTS AND LEARNING MAP</w:t>
      </w:r>
    </w:p>
    <w:p>
      <w:r>
        <w:t>You can read this guide from start to finish, or jump directly to the question you need to answer. Each chapter separates three ideas: what the strategy measures, how the program computes it, and what the displayed result does—and does not—mean.</w:t>
      </w:r>
    </w:p>
    <w:tbl>
      <w:tblPr>
        <w:tblStyle w:val="TableGrid"/>
        <w:tblW w:type="dxa" w:w="9360"/>
        <w:jc w:val="left"/>
        <w:tblLayout w:type="fixed"/>
        <w:tblLook w:firstColumn="1" w:firstRow="1" w:lastColumn="0" w:lastRow="0" w:noHBand="0" w:noVBand="1" w:val="04A0"/>
        <w:tblInd w:type="dxa" w:w="120"/>
      </w:tblPr>
      <w:tblGrid>
        <w:gridCol w:w="2700"/>
        <w:gridCol w:w="6660"/>
      </w:tblGrid>
      <w:tr>
        <w:trPr>
          <w:tblHeader w:val="true"/>
          <w:cantSplit/>
        </w:trPr>
        <w:tc>
          <w:tcPr>
            <w:tcW w:type="dxa" w:w="27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Chapter</w:t>
            </w:r>
          </w:p>
        </w:tc>
        <w:tc>
          <w:tcPr>
            <w:tcW w:type="dxa" w:w="66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What you will learn</w:t>
            </w:r>
          </w:p>
        </w:tc>
      </w:tr>
      <w:tr>
        <w:trPr>
          <w:cantSplit/>
        </w:trPr>
        <w:tc>
          <w:tcPr>
            <w:tcW w:type="dxa" w:w="2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 The idea in everyday language</w:t>
            </w:r>
          </w:p>
        </w:tc>
        <w:tc>
          <w:tcPr>
            <w:tcW w:type="dxa" w:w="6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Turn each number’s history into D and !D patterns.</w:t>
            </w:r>
          </w:p>
        </w:tc>
      </w:tr>
      <w:tr>
        <w:trPr>
          <w:cantSplit/>
        </w:trPr>
        <w:tc>
          <w:tcPr>
            <w:tcW w:type="dxa" w:w="27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 Transition contexts up to order 20</w:t>
            </w:r>
          </w:p>
        </w:tc>
        <w:tc>
          <w:tcPr>
            <w:tcW w:type="dxa" w:w="6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Understand DD, D!D, !DD, and longer histories.</w:t>
            </w:r>
          </w:p>
        </w:tc>
      </w:tr>
      <w:tr>
        <w:trPr>
          <w:cantSplit/>
        </w:trPr>
        <w:tc>
          <w:tcPr>
            <w:tcW w:type="dxa" w:w="2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 The computation</w:t>
            </w:r>
          </w:p>
        </w:tc>
        <w:tc>
          <w:tcPr>
            <w:tcW w:type="dxa" w:w="6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Follow per-number baselines, support, backoff, smoothing, and lift.</w:t>
            </w:r>
          </w:p>
        </w:tc>
      </w:tr>
      <w:tr>
        <w:trPr>
          <w:cantSplit/>
        </w:trPr>
        <w:tc>
          <w:tcPr>
            <w:tcW w:type="dxa" w:w="27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4. The implementation</w:t>
            </w:r>
          </w:p>
        </w:tc>
        <w:tc>
          <w:tcPr>
            <w:tcW w:type="dxa" w:w="6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See the training sequence, stored tables, and ranking rules.</w:t>
            </w:r>
          </w:p>
        </w:tc>
      </w:tr>
      <w:tr>
        <w:trPr>
          <w:cantSplit/>
        </w:trPr>
        <w:tc>
          <w:tcPr>
            <w:tcW w:type="dxa" w:w="2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5. Reading the results</w:t>
            </w:r>
          </w:p>
        </w:tc>
        <w:tc>
          <w:tcPr>
            <w:tcW w:type="dxa" w:w="6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Interpret Context probability, Baseline, Lift, Order, and Support.</w:t>
            </w:r>
          </w:p>
        </w:tc>
      </w:tr>
      <w:tr>
        <w:trPr>
          <w:cantSplit/>
        </w:trPr>
        <w:tc>
          <w:tcPr>
            <w:tcW w:type="dxa" w:w="27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6. Limits and responsible use</w:t>
            </w:r>
          </w:p>
        </w:tc>
        <w:tc>
          <w:tcPr>
            <w:tcW w:type="dxa" w:w="6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Avoid false certainty, pattern myths, and over-reading.</w:t>
            </w:r>
          </w:p>
        </w:tc>
      </w:tr>
      <w:tr>
        <w:trPr>
          <w:cantSplit/>
        </w:trPr>
        <w:tc>
          <w:tcPr>
            <w:tcW w:type="dxa" w:w="2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Reference</w:t>
            </w:r>
          </w:p>
        </w:tc>
        <w:tc>
          <w:tcPr>
            <w:tcW w:type="dxa" w:w="6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Use the checklist, glossary, and worked calculation.</w:t>
            </w:r>
          </w:p>
        </w:tc>
      </w:tr>
    </w:tbl>
    <w:p>
      <w:pPr>
        <w:spacing w:before="0" w:after="40"/>
      </w:pPr>
    </w:p>
    <w:p>
      <w:pPr>
        <w:spacing w:before="120" w:after="180"/>
        <w:ind w:left="173" w:right="173"/>
        <w:shd w:fill="FFF7DD" w:val="clear"/>
        <w:pBdr>
          <w:top w:val="single" w:sz="6" w:space="4" w:color="7A5A00"/>
          <w:left w:val="single" w:sz="6" w:space="4" w:color="7A5A00"/>
          <w:bottom w:val="single" w:sz="6" w:space="4" w:color="7A5A00"/>
          <w:right w:val="single" w:sz="6" w:space="4" w:color="7A5A00"/>
        </w:pBdr>
      </w:pPr>
      <w:r>
        <w:rPr>
          <w:rFonts w:ascii="Calibri" w:hAnsi="Calibri"/>
          <w:b/>
          <w:color w:val="7A5A00"/>
        </w:rPr>
        <w:t xml:space="preserve">The most important reading rule: </w:t>
      </w:r>
      <w:r>
        <w:rPr>
          <w:rFonts w:ascii="Calibri" w:hAnsi="Calibri"/>
          <w:color w:val="20252B"/>
        </w:rPr>
        <w:t>A high score means “higher according to this model and this history.” It does not mean “certain to be drawn.” Lottery draws remain random.</w:t>
      </w:r>
    </w:p>
    <w:p>
      <w:pPr>
        <w:pStyle w:val="Heading1"/>
        <w:pageBreakBefore/>
      </w:pPr>
      <w:r>
        <w:t>1. The idea in everyday language</w:t>
      </w:r>
    </w:p>
    <w:p>
      <w:pPr>
        <w:spacing w:after="200"/>
      </w:pPr>
      <w:r>
        <w:rPr>
          <w:rFonts w:ascii="Calibri" w:hAnsi="Calibri"/>
          <w:i/>
          <w:color w:val="1F4D78"/>
          <w:sz w:val="22"/>
        </w:rPr>
        <w:t>MKFR asks a per-number question: when this same number previously had the same recent D / !D pattern, how often was its next outcome D?</w:t>
      </w:r>
    </w:p>
    <w:p>
      <w:pPr>
        <w:pStyle w:val="Heading2"/>
      </w:pPr>
      <w:r>
        <w:t>1.1 Forty-nine separate binary histories</w:t>
      </w:r>
    </w:p>
    <w:p>
      <w:r>
        <w:t>MKFR builds a separate history for every number from 1 to 49. For number 23, each draw becomes D if 23 appeared and !D if it did not. Number 24 has its own sequence. The model does not mix their transition counts.</w:t>
      </w:r>
    </w:p>
    <w:tbl>
      <w:tblPr>
        <w:tblStyle w:val="TableGrid"/>
        <w:tblW w:type="dxa" w:w="9360"/>
        <w:jc w:val="left"/>
        <w:tblLayout w:type="fixed"/>
        <w:tblLook w:firstColumn="1" w:firstRow="1" w:lastColumn="0" w:lastRow="0" w:noHBand="0" w:noVBand="1" w:val="04A0"/>
        <w:tblInd w:type="dxa" w:w="120"/>
      </w:tblPr>
      <w:tblGrid>
        <w:gridCol w:w="1800"/>
        <w:gridCol w:w="4100"/>
        <w:gridCol w:w="3460"/>
      </w:tblGrid>
      <w:tr>
        <w:trPr>
          <w:tblHeader w:val="true"/>
          <w:cantSplit/>
        </w:trPr>
        <w:tc>
          <w:tcPr>
            <w:tcW w:type="dxa" w:w="18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Draw</w:t>
            </w:r>
          </w:p>
        </w:tc>
        <w:tc>
          <w:tcPr>
            <w:tcW w:type="dxa" w:w="41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Did number 23 appear?</w:t>
            </w:r>
          </w:p>
        </w:tc>
        <w:tc>
          <w:tcPr>
            <w:tcW w:type="dxa" w:w="34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Symbol stored</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101</w:t>
            </w:r>
          </w:p>
        </w:tc>
        <w:tc>
          <w:tcPr>
            <w:tcW w:type="dxa" w:w="41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No</w:t>
            </w:r>
          </w:p>
        </w:tc>
        <w:tc>
          <w:tcPr>
            <w:tcW w:type="dxa" w:w="3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w:t>
            </w:r>
          </w:p>
        </w:tc>
      </w:tr>
      <w:tr>
        <w:trPr>
          <w:cantSplit/>
        </w:trPr>
        <w:tc>
          <w:tcPr>
            <w:tcW w:type="dxa" w:w="1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102</w:t>
            </w:r>
          </w:p>
        </w:tc>
        <w:tc>
          <w:tcPr>
            <w:tcW w:type="dxa" w:w="41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No</w:t>
            </w:r>
          </w:p>
        </w:tc>
        <w:tc>
          <w:tcPr>
            <w:tcW w:type="dxa" w:w="3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103</w:t>
            </w:r>
          </w:p>
        </w:tc>
        <w:tc>
          <w:tcPr>
            <w:tcW w:type="dxa" w:w="41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Yes</w:t>
            </w:r>
          </w:p>
        </w:tc>
        <w:tc>
          <w:tcPr>
            <w:tcW w:type="dxa" w:w="3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w:t>
            </w:r>
          </w:p>
        </w:tc>
      </w:tr>
      <w:tr>
        <w:trPr>
          <w:cantSplit/>
        </w:trPr>
        <w:tc>
          <w:tcPr>
            <w:tcW w:type="dxa" w:w="1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104</w:t>
            </w:r>
          </w:p>
        </w:tc>
        <w:tc>
          <w:tcPr>
            <w:tcW w:type="dxa" w:w="41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No</w:t>
            </w:r>
          </w:p>
        </w:tc>
        <w:tc>
          <w:tcPr>
            <w:tcW w:type="dxa" w:w="3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105</w:t>
            </w:r>
          </w:p>
        </w:tc>
        <w:tc>
          <w:tcPr>
            <w:tcW w:type="dxa" w:w="41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Yes</w:t>
            </w:r>
          </w:p>
        </w:tc>
        <w:tc>
          <w:tcPr>
            <w:tcW w:type="dxa" w:w="3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D</w:t>
            </w:r>
          </w:p>
        </w:tc>
      </w:tr>
    </w:tbl>
    <w:p>
      <w:pPr>
        <w:spacing w:before="0" w:after="40"/>
      </w:pPr>
    </w:p>
    <w:p>
      <w:r>
        <w:t>After draw 105, the recent pattern for number 23 is !D !D D !D D. MKFR can study the last one symbol, the last two symbols, and every longer suffix up to the last 20 draws.</w:t>
      </w:r>
    </w:p>
    <w:p>
      <w:pPr>
        <w:pStyle w:val="Heading2"/>
      </w:pPr>
      <w:r>
        <w:t>1.2 What “Markov” means here</w:t>
      </w:r>
    </w:p>
    <w:p>
      <w:r>
        <w:t>A Markov-style model estimates the next outcome from a limited recent state instead of rereading the entire history as one enormous pattern. MKFR uses a variable-order state: it begins with short patterns and allows longer patterns to refine the estimate when enough matching examples exist.</w:t>
      </w:r>
    </w:p>
    <w:p>
      <w:pPr>
        <w:spacing w:before="120" w:after="180"/>
        <w:ind w:left="173" w:right="173"/>
        <w:shd w:fill="FFF7DD" w:val="clear"/>
        <w:pBdr>
          <w:top w:val="single" w:sz="6" w:space="4" w:color="7A5A00"/>
          <w:left w:val="single" w:sz="6" w:space="4" w:color="7A5A00"/>
          <w:bottom w:val="single" w:sz="6" w:space="4" w:color="7A5A00"/>
          <w:right w:val="single" w:sz="6" w:space="4" w:color="7A5A00"/>
        </w:pBdr>
      </w:pPr>
      <w:r>
        <w:rPr>
          <w:rFonts w:ascii="Calibri" w:hAnsi="Calibri"/>
          <w:b/>
          <w:color w:val="7A5A00"/>
        </w:rPr>
        <w:t xml:space="preserve">Important: </w:t>
      </w:r>
      <w:r>
        <w:rPr>
          <w:rFonts w:ascii="Calibri" w:hAnsi="Calibri"/>
          <w:color w:val="20252B"/>
        </w:rPr>
        <w:t>The model treats the recent pattern as useful historical context. It does not claim that the pattern physically causes the next lottery outcome.</w:t>
      </w:r>
    </w:p>
    <w:p>
      <w:pPr>
        <w:pStyle w:val="Heading1"/>
        <w:pageBreakBefore/>
      </w:pPr>
      <w:r>
        <w:t>2. Transition contexts from order 1 to order 20</w:t>
      </w:r>
    </w:p>
    <w:p>
      <w:pPr>
        <w:spacing w:after="200"/>
      </w:pPr>
      <w:r>
        <w:rPr>
          <w:rFonts w:ascii="Calibri" w:hAnsi="Calibri"/>
          <w:i/>
          <w:color w:val="1F4D78"/>
          <w:sz w:val="22"/>
        </w:rPr>
        <w:t>The order is the number of most recent draws used to describe the current state of one number.</w:t>
      </w:r>
    </w:p>
    <w:p>
      <w:pPr>
        <w:pStyle w:val="Heading2"/>
      </w:pPr>
      <w:r>
        <w:t>2.1 Order 1</w:t>
      </w:r>
    </w:p>
    <w:p>
      <w:r>
        <w:t>Order 1 uses only the latest symbol. There are two possible contexts: D and !D. The model can therefore estimate P(next D | D) and P(next D | !D) for each number.</w:t>
      </w:r>
    </w:p>
    <w:p>
      <w:pPr>
        <w:pStyle w:val="Heading2"/>
      </w:pPr>
      <w:r>
        <w:t>2.2 Order 2</w:t>
      </w:r>
    </w:p>
    <w:p>
      <w:r>
        <w:t>Order 2 uses the last two symbols. There are four possible contexts: DD, D!D, !DD, and !D!D. For example, D!D means the number was drawn two draws ago and missed the most recent draw.</w:t>
      </w:r>
    </w:p>
    <w:tbl>
      <w:tblPr>
        <w:tblStyle w:val="TableGrid"/>
        <w:tblW w:type="dxa" w:w="9360"/>
        <w:jc w:val="left"/>
        <w:tblLayout w:type="fixed"/>
        <w:tblLook w:firstColumn="1" w:firstRow="1" w:lastColumn="0" w:lastRow="0" w:noHBand="0" w:noVBand="1" w:val="04A0"/>
        <w:tblInd w:type="dxa" w:w="120"/>
      </w:tblPr>
      <w:tblGrid>
        <w:gridCol w:w="1600"/>
        <w:gridCol w:w="1500"/>
        <w:gridCol w:w="1900"/>
        <w:gridCol w:w="4360"/>
      </w:tblGrid>
      <w:tr>
        <w:trPr>
          <w:tblHeader w:val="true"/>
          <w:cantSplit/>
        </w:trPr>
        <w:tc>
          <w:tcPr>
            <w:tcW w:type="dxa" w:w="16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Order-2 context</w:t>
            </w:r>
          </w:p>
        </w:tc>
        <w:tc>
          <w:tcPr>
            <w:tcW w:type="dxa" w:w="15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Older draw</w:t>
            </w:r>
          </w:p>
        </w:tc>
        <w:tc>
          <w:tcPr>
            <w:tcW w:type="dxa" w:w="19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Most recent draw</w:t>
            </w:r>
          </w:p>
        </w:tc>
        <w:tc>
          <w:tcPr>
            <w:tcW w:type="dxa" w:w="43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Question asked</w:t>
            </w:r>
          </w:p>
        </w:tc>
      </w:tr>
      <w:tr>
        <w:trPr>
          <w:cantSplit/>
        </w:trPr>
        <w:tc>
          <w:tcPr>
            <w:tcW w:type="dxa" w:w="1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DD</w:t>
            </w:r>
          </w:p>
        </w:tc>
        <w:tc>
          <w:tcPr>
            <w:tcW w:type="dxa" w:w="1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43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After two consecutive appearances, how often was next D?</w:t>
            </w:r>
          </w:p>
        </w:tc>
      </w:tr>
      <w:tr>
        <w:trPr>
          <w:cantSplit/>
        </w:trPr>
        <w:tc>
          <w:tcPr>
            <w:tcW w:type="dxa" w:w="1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D!D</w:t>
            </w:r>
          </w:p>
        </w:tc>
        <w:tc>
          <w:tcPr>
            <w:tcW w:type="dxa" w:w="1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43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After an appearance then a miss, how often was next D?</w:t>
            </w:r>
          </w:p>
        </w:tc>
      </w:tr>
      <w:tr>
        <w:trPr>
          <w:cantSplit/>
        </w:trPr>
        <w:tc>
          <w:tcPr>
            <w:tcW w:type="dxa" w:w="1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!DD</w:t>
            </w:r>
          </w:p>
        </w:tc>
        <w:tc>
          <w:tcPr>
            <w:tcW w:type="dxa" w:w="1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43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After a miss then an appearance, how often was next D?</w:t>
            </w:r>
          </w:p>
        </w:tc>
      </w:tr>
      <w:tr>
        <w:trPr>
          <w:cantSplit/>
        </w:trPr>
        <w:tc>
          <w:tcPr>
            <w:tcW w:type="dxa" w:w="1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!D!D</w:t>
            </w:r>
          </w:p>
        </w:tc>
        <w:tc>
          <w:tcPr>
            <w:tcW w:type="dxa" w:w="1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43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After two misses, how often was next D?</w:t>
            </w:r>
          </w:p>
        </w:tc>
      </w:tr>
    </w:tbl>
    <w:p>
      <w:pPr>
        <w:spacing w:before="0" w:after="40"/>
      </w:pPr>
    </w:p>
    <w:p>
      <w:pPr>
        <w:pStyle w:val="Heading2"/>
      </w:pPr>
      <w:r>
        <w:t>2.3 Longer orders and the growth of possible patterns</w:t>
      </w:r>
    </w:p>
    <w:p>
      <w:r>
        <w:t>Every added draw doubles the number of theoretically possible patterns. Order k has 2ᵏ possible contexts. This growth is why a literal order-20 table is sparse: many exact 20-draw patterns may never repeat.</w:t>
      </w:r>
    </w:p>
    <w:tbl>
      <w:tblPr>
        <w:tblStyle w:val="TableGrid"/>
        <w:tblW w:type="dxa" w:w="9360"/>
        <w:jc w:val="left"/>
        <w:tblLayout w:type="fixed"/>
        <w:tblLook w:firstColumn="1" w:firstRow="1" w:lastColumn="0" w:lastRow="0" w:noHBand="0" w:noVBand="1" w:val="04A0"/>
        <w:tblInd w:type="dxa" w:w="120"/>
      </w:tblPr>
      <w:tblGrid>
        <w:gridCol w:w="1800"/>
        <w:gridCol w:w="2500"/>
        <w:gridCol w:w="5060"/>
      </w:tblGrid>
      <w:tr>
        <w:trPr>
          <w:tblHeader w:val="true"/>
          <w:cantSplit/>
        </w:trPr>
        <w:tc>
          <w:tcPr>
            <w:tcW w:type="dxa" w:w="18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Order k</w:t>
            </w:r>
          </w:p>
        </w:tc>
        <w:tc>
          <w:tcPr>
            <w:tcW w:type="dxa" w:w="25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Draws in context</w:t>
            </w:r>
          </w:p>
        </w:tc>
        <w:tc>
          <w:tcPr>
            <w:tcW w:type="dxa" w:w="50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Possible D / !D patterns (2ᵏ)</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w:t>
            </w:r>
          </w:p>
        </w:tc>
        <w:tc>
          <w:tcPr>
            <w:tcW w:type="dxa" w:w="2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w:t>
            </w:r>
          </w:p>
        </w:tc>
        <w:tc>
          <w:tcPr>
            <w:tcW w:type="dxa" w:w="50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w:t>
            </w:r>
          </w:p>
        </w:tc>
      </w:tr>
      <w:tr>
        <w:trPr>
          <w:cantSplit/>
        </w:trPr>
        <w:tc>
          <w:tcPr>
            <w:tcW w:type="dxa" w:w="1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w:t>
            </w:r>
          </w:p>
        </w:tc>
        <w:tc>
          <w:tcPr>
            <w:tcW w:type="dxa" w:w="2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w:t>
            </w:r>
          </w:p>
        </w:tc>
        <w:tc>
          <w:tcPr>
            <w:tcW w:type="dxa" w:w="50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4</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w:t>
            </w:r>
          </w:p>
        </w:tc>
        <w:tc>
          <w:tcPr>
            <w:tcW w:type="dxa" w:w="2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w:t>
            </w:r>
          </w:p>
        </w:tc>
        <w:tc>
          <w:tcPr>
            <w:tcW w:type="dxa" w:w="50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8</w:t>
            </w:r>
          </w:p>
        </w:tc>
      </w:tr>
      <w:tr>
        <w:trPr>
          <w:cantSplit/>
        </w:trPr>
        <w:tc>
          <w:tcPr>
            <w:tcW w:type="dxa" w:w="1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5</w:t>
            </w:r>
          </w:p>
        </w:tc>
        <w:tc>
          <w:tcPr>
            <w:tcW w:type="dxa" w:w="2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5</w:t>
            </w:r>
          </w:p>
        </w:tc>
        <w:tc>
          <w:tcPr>
            <w:tcW w:type="dxa" w:w="50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32</w:t>
            </w:r>
          </w:p>
        </w:tc>
      </w:tr>
      <w:tr>
        <w:trPr>
          <w:cantSplit/>
        </w:trPr>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w:t>
            </w:r>
          </w:p>
        </w:tc>
        <w:tc>
          <w:tcPr>
            <w:tcW w:type="dxa" w:w="2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w:t>
            </w:r>
          </w:p>
        </w:tc>
        <w:tc>
          <w:tcPr>
            <w:tcW w:type="dxa" w:w="50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1,024</w:t>
            </w:r>
          </w:p>
        </w:tc>
      </w:tr>
      <w:tr>
        <w:trPr>
          <w:cantSplit/>
        </w:trPr>
        <w:tc>
          <w:tcPr>
            <w:tcW w:type="dxa" w:w="1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20</w:t>
            </w:r>
          </w:p>
        </w:tc>
        <w:tc>
          <w:tcPr>
            <w:tcW w:type="dxa" w:w="2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20</w:t>
            </w:r>
          </w:p>
        </w:tc>
        <w:tc>
          <w:tcPr>
            <w:tcW w:type="dxa" w:w="50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1,048,576</w:t>
            </w:r>
          </w:p>
        </w:tc>
      </w:tr>
    </w:tbl>
    <w:p>
      <w:pPr>
        <w:spacing w:before="0" w:after="40"/>
      </w:pPr>
    </w:p>
    <w:p>
      <w:pPr>
        <w:spacing w:before="120" w:after="180"/>
        <w:ind w:left="173" w:right="173"/>
        <w:shd w:fill="EAF5EF" w:val="clear"/>
        <w:pBdr>
          <w:top w:val="single" w:sz="6" w:space="4" w:color="246B4A"/>
          <w:left w:val="single" w:sz="6" w:space="4" w:color="246B4A"/>
          <w:bottom w:val="single" w:sz="6" w:space="4" w:color="246B4A"/>
          <w:right w:val="single" w:sz="6" w:space="4" w:color="246B4A"/>
        </w:pBdr>
      </w:pPr>
      <w:r>
        <w:rPr>
          <w:rFonts w:ascii="Calibri" w:hAnsi="Calibri"/>
          <w:b/>
          <w:color w:val="246B4A"/>
        </w:rPr>
        <w:t xml:space="preserve">What Rand AI stores: </w:t>
      </w:r>
      <w:r>
        <w:rPr>
          <w:rFonts w:ascii="Calibri" w:hAnsi="Calibri"/>
          <w:color w:val="20252B"/>
        </w:rPr>
        <w:t>It stores only contexts that actually occurred. It does not allocate all 1,048,576 order-20 patterns for all 49 numbers.</w:t>
      </w:r>
    </w:p>
    <w:p>
      <w:pPr>
        <w:pStyle w:val="Heading1"/>
        <w:pageBreakBefore w:val="0"/>
      </w:pPr>
      <w:r>
        <w:t>3. The computation</w:t>
      </w:r>
    </w:p>
    <w:p>
      <w:pPr>
        <w:spacing w:after="200"/>
      </w:pPr>
      <w:r>
        <w:rPr>
          <w:rFonts w:ascii="Calibri" w:hAnsi="Calibri"/>
          <w:i/>
          <w:color w:val="1F4D78"/>
          <w:sz w:val="22"/>
        </w:rPr>
        <w:t>MKFR combines four ideas: a personal baseline, exact transition counts, minimum support, and hierarchical smoothing.</w:t>
      </w:r>
    </w:p>
    <w:p>
      <w:pPr>
        <w:pStyle w:val="Heading2"/>
      </w:pPr>
      <w:r>
        <w:t>3.1 Each number’s own baseline</w:t>
      </w:r>
    </w:p>
    <w:p>
      <w:r>
        <w:t>Some numbers may have appeared slightly more often than others in the loaded history purely by chance. MKFR first estimates each number’s normal historical appearance rate. It smooths that rate toward 6/49 with a prior strength of 8.</w:t>
      </w:r>
    </w:p>
    <w:p>
      <w:pPr>
        <w:spacing w:before="100" w:after="80"/>
        <w:jc w:val="center"/>
        <w:shd w:fill="F2F4F7" w:val="clear"/>
      </w:pPr>
      <w:r>
        <w:rPr>
          <w:rFonts w:ascii="Consolas" w:hAnsi="Consolas"/>
          <w:b/>
          <w:color w:val="0B2545"/>
          <w:sz w:val="21"/>
        </w:rPr>
        <w:t>baseline(n) = (appearances(n) + 8 × 6/49) ÷ (draw_count + 8)</w:t>
      </w:r>
    </w:p>
    <w:p>
      <w:pPr>
        <w:spacing w:after="180"/>
        <w:jc w:val="center"/>
      </w:pPr>
      <w:r>
        <w:rPr>
          <w:rFonts w:ascii="Calibri" w:hAnsi="Calibri"/>
          <w:i/>
          <w:color w:val="5F6B76"/>
          <w:sz w:val="19"/>
        </w:rPr>
        <w:t>The baseline is personal to number n, but starts from the same neutral lottery rate.</w:t>
      </w:r>
    </w:p>
    <w:tbl>
      <w:tblPr>
        <w:tblStyle w:val="TableGrid"/>
        <w:tblW w:type="dxa" w:w="9360"/>
        <w:jc w:val="left"/>
        <w:tblLayout w:type="fixed"/>
        <w:tblLook w:firstColumn="1" w:firstRow="1" w:lastColumn="0" w:lastRow="0" w:noHBand="0" w:noVBand="1" w:val="04A0"/>
        <w:tblInd w:type="dxa" w:w="120"/>
      </w:tblPr>
      <w:tblGrid>
        <w:gridCol w:w="1300"/>
        <w:gridCol w:w="2800"/>
        <w:gridCol w:w="1700"/>
        <w:gridCol w:w="3560"/>
      </w:tblGrid>
      <w:tr>
        <w:trPr>
          <w:tblHeader w:val="true"/>
          <w:cantSplit/>
        </w:trPr>
        <w:tc>
          <w:tcPr>
            <w:tcW w:type="dxa" w:w="13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Number</w:t>
            </w:r>
          </w:p>
        </w:tc>
        <w:tc>
          <w:tcPr>
            <w:tcW w:type="dxa" w:w="28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Appearances / 1,000 draws</w:t>
            </w:r>
          </w:p>
        </w:tc>
        <w:tc>
          <w:tcPr>
            <w:tcW w:type="dxa" w:w="17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Raw frequency</w:t>
            </w:r>
          </w:p>
        </w:tc>
        <w:tc>
          <w:tcPr>
            <w:tcW w:type="dxa" w:w="35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Smoothed baseline</w:t>
            </w:r>
          </w:p>
        </w:tc>
      </w:tr>
      <w:tr>
        <w:trPr>
          <w:cantSplit/>
        </w:trPr>
        <w:tc>
          <w:tcPr>
            <w:tcW w:type="dxa" w:w="1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A</w:t>
            </w:r>
          </w:p>
        </w:tc>
        <w:tc>
          <w:tcPr>
            <w:tcW w:type="dxa" w:w="2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130</w:t>
            </w:r>
          </w:p>
        </w:tc>
        <w:tc>
          <w:tcPr>
            <w:tcW w:type="dxa" w:w="17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13.00%</w:t>
            </w:r>
          </w:p>
        </w:tc>
        <w:tc>
          <w:tcPr>
            <w:tcW w:type="dxa" w:w="35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(130 + 0.9796) ÷ 1,008 = 12.99%</w:t>
            </w:r>
          </w:p>
        </w:tc>
      </w:tr>
      <w:tr>
        <w:trPr>
          <w:cantSplit/>
        </w:trPr>
        <w:tc>
          <w:tcPr>
            <w:tcW w:type="dxa" w:w="13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B</w:t>
            </w:r>
          </w:p>
        </w:tc>
        <w:tc>
          <w:tcPr>
            <w:tcW w:type="dxa" w:w="2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115</w:t>
            </w:r>
          </w:p>
        </w:tc>
        <w:tc>
          <w:tcPr>
            <w:tcW w:type="dxa" w:w="17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11.50%</w:t>
            </w:r>
          </w:p>
        </w:tc>
        <w:tc>
          <w:tcPr>
            <w:tcW w:type="dxa" w:w="35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(115 + 0.9796) ÷ 1,008 = 11.51%</w:t>
            </w:r>
          </w:p>
        </w:tc>
      </w:tr>
    </w:tbl>
    <w:p>
      <w:pPr>
        <w:spacing w:before="0" w:after="40"/>
      </w:pPr>
    </w:p>
    <w:p>
      <w:r>
        <w:t>The table is hypothetical. It shows why comparing a context probability with that same number’s baseline is fairer than ranking only by lifetime frequency.</w:t>
      </w:r>
    </w:p>
    <w:p>
      <w:pPr>
        <w:pStyle w:val="Heading2"/>
      </w:pPr>
      <w:r>
        <w:t>3.2 Transition counts</w:t>
      </w:r>
    </w:p>
    <w:p>
      <w:r>
        <w:t>For every number, order, and observed context, the program stores two counts: how often the next outcome was !D and how often it was D. Their sum is the context support.</w:t>
      </w:r>
    </w:p>
    <w:tbl>
      <w:tblPr>
        <w:tblStyle w:val="TableGrid"/>
        <w:tblW w:type="dxa" w:w="9360"/>
        <w:jc w:val="left"/>
        <w:tblLayout w:type="fixed"/>
        <w:tblLook w:firstColumn="1" w:firstRow="1" w:lastColumn="0" w:lastRow="0" w:noHBand="0" w:noVBand="1" w:val="04A0"/>
        <w:tblInd w:type="dxa" w:w="120"/>
      </w:tblPr>
      <w:tblGrid>
        <w:gridCol w:w="1200"/>
        <w:gridCol w:w="1000"/>
        <w:gridCol w:w="1500"/>
        <w:gridCol w:w="1600"/>
        <w:gridCol w:w="1400"/>
        <w:gridCol w:w="2660"/>
      </w:tblGrid>
      <w:tr>
        <w:trPr>
          <w:tblHeader w:val="true"/>
          <w:cantSplit/>
        </w:trPr>
        <w:tc>
          <w:tcPr>
            <w:tcW w:type="dxa" w:w="12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Number</w:t>
            </w:r>
          </w:p>
        </w:tc>
        <w:tc>
          <w:tcPr>
            <w:tcW w:type="dxa" w:w="10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Order</w:t>
            </w:r>
          </w:p>
        </w:tc>
        <w:tc>
          <w:tcPr>
            <w:tcW w:type="dxa" w:w="15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Context</w:t>
            </w:r>
          </w:p>
        </w:tc>
        <w:tc>
          <w:tcPr>
            <w:tcW w:type="dxa" w:w="16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Next !D</w:t>
            </w:r>
          </w:p>
        </w:tc>
        <w:tc>
          <w:tcPr>
            <w:tcW w:type="dxa" w:w="14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Next D</w:t>
            </w:r>
          </w:p>
        </w:tc>
        <w:tc>
          <w:tcPr>
            <w:tcW w:type="dxa" w:w="26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Support</w:t>
            </w:r>
          </w:p>
        </w:tc>
      </w:tr>
      <w:tr>
        <w:trPr>
          <w:cantSplit/>
        </w:trPr>
        <w:tc>
          <w:tcPr>
            <w:tcW w:type="dxa" w:w="1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23</w:t>
            </w:r>
          </w:p>
        </w:tc>
        <w:tc>
          <w:tcPr>
            <w:tcW w:type="dxa" w:w="10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w:t>
            </w:r>
          </w:p>
        </w:tc>
        <w:tc>
          <w:tcPr>
            <w:tcW w:type="dxa" w:w="1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w:t>
            </w:r>
          </w:p>
        </w:tc>
        <w:tc>
          <w:tcPr>
            <w:tcW w:type="dxa" w:w="1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710</w:t>
            </w:r>
          </w:p>
        </w:tc>
        <w:tc>
          <w:tcPr>
            <w:tcW w:type="dxa" w:w="1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96</w:t>
            </w:r>
          </w:p>
        </w:tc>
        <w:tc>
          <w:tcPr>
            <w:tcW w:type="dxa" w:w="2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806</w:t>
            </w:r>
          </w:p>
        </w:tc>
      </w:tr>
      <w:tr>
        <w:trPr>
          <w:cantSplit/>
        </w:trPr>
        <w:tc>
          <w:tcPr>
            <w:tcW w:type="dxa" w:w="1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23</w:t>
            </w:r>
          </w:p>
        </w:tc>
        <w:tc>
          <w:tcPr>
            <w:tcW w:type="dxa" w:w="10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w:t>
            </w:r>
          </w:p>
        </w:tc>
        <w:tc>
          <w:tcPr>
            <w:tcW w:type="dxa" w:w="1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D!D</w:t>
            </w:r>
          </w:p>
        </w:tc>
        <w:tc>
          <w:tcPr>
            <w:tcW w:type="dxa" w:w="1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82</w:t>
            </w:r>
          </w:p>
        </w:tc>
        <w:tc>
          <w:tcPr>
            <w:tcW w:type="dxa" w:w="1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13</w:t>
            </w:r>
          </w:p>
        </w:tc>
        <w:tc>
          <w:tcPr>
            <w:tcW w:type="dxa" w:w="2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95</w:t>
            </w:r>
          </w:p>
        </w:tc>
      </w:tr>
      <w:tr>
        <w:trPr>
          <w:cantSplit/>
        </w:trPr>
        <w:tc>
          <w:tcPr>
            <w:tcW w:type="dxa" w:w="1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23</w:t>
            </w:r>
          </w:p>
        </w:tc>
        <w:tc>
          <w:tcPr>
            <w:tcW w:type="dxa" w:w="10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3</w:t>
            </w:r>
          </w:p>
        </w:tc>
        <w:tc>
          <w:tcPr>
            <w:tcW w:type="dxa" w:w="1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!DD!D</w:t>
            </w:r>
          </w:p>
        </w:tc>
        <w:tc>
          <w:tcPr>
            <w:tcW w:type="dxa" w:w="1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8</w:t>
            </w:r>
          </w:p>
        </w:tc>
        <w:tc>
          <w:tcPr>
            <w:tcW w:type="dxa" w:w="1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w:t>
            </w:r>
          </w:p>
        </w:tc>
        <w:tc>
          <w:tcPr>
            <w:tcW w:type="dxa" w:w="2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10</w:t>
            </w:r>
          </w:p>
        </w:tc>
      </w:tr>
      <w:tr>
        <w:trPr>
          <w:cantSplit/>
        </w:trPr>
        <w:tc>
          <w:tcPr>
            <w:tcW w:type="dxa" w:w="1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23</w:t>
            </w:r>
          </w:p>
        </w:tc>
        <w:tc>
          <w:tcPr>
            <w:tcW w:type="dxa" w:w="10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4</w:t>
            </w:r>
          </w:p>
        </w:tc>
        <w:tc>
          <w:tcPr>
            <w:tcW w:type="dxa" w:w="1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D!DD!D</w:t>
            </w:r>
          </w:p>
        </w:tc>
        <w:tc>
          <w:tcPr>
            <w:tcW w:type="dxa" w:w="1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w:t>
            </w:r>
          </w:p>
        </w:tc>
        <w:tc>
          <w:tcPr>
            <w:tcW w:type="dxa" w:w="1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0</w:t>
            </w:r>
          </w:p>
        </w:tc>
        <w:tc>
          <w:tcPr>
            <w:tcW w:type="dxa" w:w="2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2 → too little</w:t>
            </w:r>
          </w:p>
        </w:tc>
      </w:tr>
    </w:tbl>
    <w:p>
      <w:pPr>
        <w:spacing w:before="0" w:after="40"/>
      </w:pPr>
    </w:p>
    <w:p>
      <w:pPr>
        <w:pStyle w:val="Heading2"/>
      </w:pPr>
      <w:r>
        <w:t>3.3 Minimum support and backoff</w:t>
      </w:r>
    </w:p>
    <w:p>
      <w:r>
        <w:t>A context must have at least 8 previous next-outcomes before it can change the probability. If an order has support below 8, MKFR skips it and keeps the estimate from the latest supported shorter order.</w:t>
      </w:r>
    </w:p>
    <w:p>
      <w:pPr>
        <w:spacing w:before="120" w:after="180"/>
        <w:ind w:left="173" w:right="173"/>
        <w:shd w:fill="F4F6F9" w:val="clear"/>
        <w:pBdr>
          <w:top w:val="single" w:sz="6" w:space="4" w:color="2E74B5"/>
          <w:left w:val="single" w:sz="6" w:space="4" w:color="2E74B5"/>
          <w:bottom w:val="single" w:sz="6" w:space="4" w:color="2E74B5"/>
          <w:right w:val="single" w:sz="6" w:space="4" w:color="2E74B5"/>
        </w:pBdr>
      </w:pPr>
      <w:r>
        <w:rPr>
          <w:rFonts w:ascii="Calibri" w:hAnsi="Calibri"/>
          <w:b/>
          <w:color w:val="2E74B5"/>
        </w:rPr>
        <w:t xml:space="preserve">Backoff in one sentence: </w:t>
      </w:r>
      <w:r>
        <w:rPr>
          <w:rFonts w:ascii="Calibri" w:hAnsi="Calibri"/>
          <w:color w:val="20252B"/>
        </w:rPr>
        <w:t>Use the longest available pattern that has enough evidence, while keeping the information learned from supported shorter patterns.</w:t>
      </w:r>
    </w:p>
    <w:p>
      <w:pPr>
        <w:pStyle w:val="Heading2"/>
      </w:pPr>
      <w:r>
        <w:t>3.4 Hierarchical smoothing</w:t>
      </w:r>
    </w:p>
    <w:p>
      <w:r>
        <w:t>Supported contexts are processed from order 1 toward order 20. A longer context does not completely replace the shorter estimate. Instead, its observed hit count is combined with the previous probability as a prior worth 8 opportunities.</w:t>
      </w:r>
    </w:p>
    <w:p>
      <w:pPr>
        <w:spacing w:before="100" w:after="80"/>
        <w:jc w:val="center"/>
        <w:shd w:fill="F2F4F7" w:val="clear"/>
      </w:pPr>
      <w:r>
        <w:rPr>
          <w:rFonts w:ascii="Consolas" w:hAnsi="Consolas"/>
          <w:b/>
          <w:color w:val="0B2545"/>
          <w:sz w:val="21"/>
        </w:rPr>
        <w:t>new probability = (context hits + 8 × previous probability) ÷ (context support + 8)</w:t>
      </w:r>
    </w:p>
    <w:p>
      <w:pPr>
        <w:spacing w:after="180"/>
        <w:jc w:val="center"/>
      </w:pPr>
      <w:r>
        <w:rPr>
          <w:rFonts w:ascii="Calibri" w:hAnsi="Calibri"/>
          <w:i/>
          <w:color w:val="5F6B76"/>
          <w:sz w:val="19"/>
        </w:rPr>
        <w:t>The “previous probability” is the baseline first, then the latest supported shorter-order estimate.</w:t>
      </w:r>
    </w:p>
    <w:p>
      <w:pPr>
        <w:pStyle w:val="Heading2"/>
      </w:pPr>
      <w:r>
        <w:t>3.5 Worked hierarchical example</w:t>
      </w:r>
    </w:p>
    <w:tbl>
      <w:tblPr>
        <w:tblStyle w:val="TableGrid"/>
        <w:tblW w:type="dxa" w:w="9360"/>
        <w:jc w:val="left"/>
        <w:tblLayout w:type="fixed"/>
        <w:tblLook w:firstColumn="1" w:firstRow="1" w:lastColumn="0" w:lastRow="0" w:noHBand="0" w:noVBand="1" w:val="04A0"/>
        <w:tblInd w:type="dxa" w:w="120"/>
      </w:tblPr>
      <w:tblGrid>
        <w:gridCol w:w="1400"/>
        <w:gridCol w:w="2400"/>
        <w:gridCol w:w="3560"/>
        <w:gridCol w:w="2000"/>
      </w:tblGrid>
      <w:tr>
        <w:trPr>
          <w:tblHeader w:val="true"/>
          <w:cantSplit/>
        </w:trPr>
        <w:tc>
          <w:tcPr>
            <w:tcW w:type="dxa" w:w="14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Step</w:t>
            </w:r>
          </w:p>
        </w:tc>
        <w:tc>
          <w:tcPr>
            <w:tcW w:type="dxa" w:w="24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Evidence</w:t>
            </w:r>
          </w:p>
        </w:tc>
        <w:tc>
          <w:tcPr>
            <w:tcW w:type="dxa" w:w="35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Calculation</w:t>
            </w:r>
          </w:p>
        </w:tc>
        <w:tc>
          <w:tcPr>
            <w:tcW w:type="dxa" w:w="20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Result</w:t>
            </w:r>
          </w:p>
        </w:tc>
      </w:tr>
      <w:tr>
        <w:trPr>
          <w:cantSplit/>
        </w:trPr>
        <w:tc>
          <w:tcPr>
            <w:tcW w:type="dxa" w:w="1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Baseline</w:t>
            </w:r>
          </w:p>
        </w:tc>
        <w:tc>
          <w:tcPr>
            <w:tcW w:type="dxa" w:w="2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Number’s normal rate</w:t>
            </w:r>
          </w:p>
        </w:tc>
        <w:tc>
          <w:tcPr>
            <w:tcW w:type="dxa" w:w="35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Given</w:t>
            </w:r>
          </w:p>
        </w:tc>
        <w:tc>
          <w:tcPr>
            <w:tcW w:type="dxa" w:w="20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12.00%</w:t>
            </w:r>
          </w:p>
        </w:tc>
      </w:tr>
      <w:tr>
        <w:trPr>
          <w:cantSplit/>
        </w:trPr>
        <w:tc>
          <w:tcPr>
            <w:tcW w:type="dxa" w:w="1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Order 1</w:t>
            </w:r>
          </w:p>
        </w:tc>
        <w:tc>
          <w:tcPr>
            <w:tcW w:type="dxa" w:w="2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18 D out of 120</w:t>
            </w:r>
          </w:p>
        </w:tc>
        <w:tc>
          <w:tcPr>
            <w:tcW w:type="dxa" w:w="35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(18 + 8×0.1200) ÷ 128</w:t>
            </w:r>
          </w:p>
        </w:tc>
        <w:tc>
          <w:tcPr>
            <w:tcW w:type="dxa" w:w="20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14.81%</w:t>
            </w:r>
          </w:p>
        </w:tc>
      </w:tr>
      <w:tr>
        <w:trPr>
          <w:cantSplit/>
        </w:trPr>
        <w:tc>
          <w:tcPr>
            <w:tcW w:type="dxa" w:w="1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Order 2</w:t>
            </w:r>
          </w:p>
        </w:tc>
        <w:tc>
          <w:tcPr>
            <w:tcW w:type="dxa" w:w="24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4 D out of 20</w:t>
            </w:r>
          </w:p>
        </w:tc>
        <w:tc>
          <w:tcPr>
            <w:tcW w:type="dxa" w:w="35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(4 + 8×0.1481) ÷ 28</w:t>
            </w:r>
          </w:p>
        </w:tc>
        <w:tc>
          <w:tcPr>
            <w:tcW w:type="dxa" w:w="20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18.52%</w:t>
            </w:r>
          </w:p>
        </w:tc>
      </w:tr>
      <w:tr>
        <w:trPr>
          <w:cantSplit/>
        </w:trPr>
        <w:tc>
          <w:tcPr>
            <w:tcW w:type="dxa" w:w="1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Order 3</w:t>
            </w:r>
          </w:p>
        </w:tc>
        <w:tc>
          <w:tcPr>
            <w:tcW w:type="dxa" w:w="24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 D out of 6</w:t>
            </w:r>
          </w:p>
        </w:tc>
        <w:tc>
          <w:tcPr>
            <w:tcW w:type="dxa" w:w="35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Support 6 &lt; 8, so skip</w:t>
            </w:r>
          </w:p>
        </w:tc>
        <w:tc>
          <w:tcPr>
            <w:tcW w:type="dxa" w:w="20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18.52%</w:t>
            </w:r>
          </w:p>
        </w:tc>
      </w:tr>
    </w:tbl>
    <w:p>
      <w:pPr>
        <w:spacing w:before="0" w:after="40"/>
      </w:pPr>
    </w:p>
    <w:p>
      <w:r>
        <w:t>The selected order is 2 because it is the longest context in this example with support of at least 8. Order 3 exists but is too weak to update the estimate.</w:t>
      </w:r>
    </w:p>
    <w:p>
      <w:pPr>
        <w:pStyle w:val="Heading1"/>
        <w:pageBreakBefore/>
      </w:pPr>
      <w:r>
        <w:t>4. Transition lift and ranking</w:t>
      </w:r>
    </w:p>
    <w:p>
      <w:pPr>
        <w:spacing w:after="200"/>
      </w:pPr>
      <w:r>
        <w:rPr>
          <w:rFonts w:ascii="Calibri" w:hAnsi="Calibri"/>
          <w:i/>
          <w:color w:val="1F4D78"/>
          <w:sz w:val="22"/>
        </w:rPr>
        <w:t>Lift answers the fairness question: is the current pattern more favorable than this number’s own normal historical rate?</w:t>
      </w:r>
    </w:p>
    <w:p>
      <w:pPr>
        <w:pStyle w:val="Heading2"/>
      </w:pPr>
      <w:r>
        <w:t>4.1 The lift formula</w:t>
      </w:r>
    </w:p>
    <w:p>
      <w:pPr>
        <w:spacing w:before="100" w:after="80"/>
        <w:jc w:val="center"/>
        <w:shd w:fill="F2F4F7" w:val="clear"/>
      </w:pPr>
      <w:r>
        <w:rPr>
          <w:rFonts w:ascii="Consolas" w:hAnsi="Consolas"/>
          <w:b/>
          <w:color w:val="0B2545"/>
          <w:sz w:val="21"/>
        </w:rPr>
        <w:t>transition lift = context probability − number’s baseline probability</w:t>
      </w:r>
    </w:p>
    <w:p>
      <w:pPr>
        <w:spacing w:after="180"/>
        <w:jc w:val="center"/>
      </w:pPr>
      <w:r>
        <w:rPr>
          <w:rFonts w:ascii="Calibri" w:hAnsi="Calibri"/>
          <w:i/>
          <w:color w:val="5F6B76"/>
          <w:sz w:val="19"/>
        </w:rPr>
        <w:t>Rand AI displays the difference in percentage points (pp), not as a percent increase.</w:t>
      </w:r>
    </w:p>
    <w:tbl>
      <w:tblPr>
        <w:tblStyle w:val="TableGrid"/>
        <w:tblW w:type="dxa" w:w="9360"/>
        <w:jc w:val="left"/>
        <w:tblLayout w:type="fixed"/>
        <w:tblLook w:firstColumn="1" w:firstRow="1" w:lastColumn="0" w:lastRow="0" w:noHBand="0" w:noVBand="1" w:val="04A0"/>
        <w:tblInd w:type="dxa" w:w="120"/>
      </w:tblPr>
      <w:tblGrid>
        <w:gridCol w:w="2100"/>
        <w:gridCol w:w="1500"/>
        <w:gridCol w:w="1600"/>
        <w:gridCol w:w="4160"/>
      </w:tblGrid>
      <w:tr>
        <w:trPr>
          <w:tblHeader w:val="true"/>
          <w:cantSplit/>
        </w:trPr>
        <w:tc>
          <w:tcPr>
            <w:tcW w:type="dxa" w:w="21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Context probability</w:t>
            </w:r>
          </w:p>
        </w:tc>
        <w:tc>
          <w:tcPr>
            <w:tcW w:type="dxa" w:w="15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Baseline</w:t>
            </w:r>
          </w:p>
        </w:tc>
        <w:tc>
          <w:tcPr>
            <w:tcW w:type="dxa" w:w="16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Lift</w:t>
            </w:r>
          </w:p>
        </w:tc>
        <w:tc>
          <w:tcPr>
            <w:tcW w:type="dxa" w:w="41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Meaning</w:t>
            </w:r>
          </w:p>
        </w:tc>
      </w:tr>
      <w:tr>
        <w:trPr>
          <w:cantSplit/>
        </w:trPr>
        <w:tc>
          <w:tcPr>
            <w:tcW w:type="dxa" w:w="21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15.20%</w:t>
            </w:r>
          </w:p>
        </w:tc>
        <w:tc>
          <w:tcPr>
            <w:tcW w:type="dxa" w:w="1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12.00%</w:t>
            </w:r>
          </w:p>
        </w:tc>
        <w:tc>
          <w:tcPr>
            <w:tcW w:type="dxa" w:w="1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+3.20 pp</w:t>
            </w:r>
          </w:p>
        </w:tc>
        <w:tc>
          <w:tcPr>
            <w:tcW w:type="dxa" w:w="41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Current pattern raises the estimate above normal.</w:t>
            </w:r>
          </w:p>
        </w:tc>
      </w:tr>
      <w:tr>
        <w:trPr>
          <w:cantSplit/>
        </w:trPr>
        <w:tc>
          <w:tcPr>
            <w:tcW w:type="dxa" w:w="21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11.90%</w:t>
            </w:r>
          </w:p>
        </w:tc>
        <w:tc>
          <w:tcPr>
            <w:tcW w:type="dxa" w:w="1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12.00%</w:t>
            </w:r>
          </w:p>
        </w:tc>
        <w:tc>
          <w:tcPr>
            <w:tcW w:type="dxa" w:w="1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−0.10 pp</w:t>
            </w:r>
          </w:p>
        </w:tc>
        <w:tc>
          <w:tcPr>
            <w:tcW w:type="dxa" w:w="41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Current pattern is almost neutral, slightly below normal.</w:t>
            </w:r>
          </w:p>
        </w:tc>
      </w:tr>
      <w:tr>
        <w:trPr>
          <w:cantSplit/>
        </w:trPr>
        <w:tc>
          <w:tcPr>
            <w:tcW w:type="dxa" w:w="21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8.50%</w:t>
            </w:r>
          </w:p>
        </w:tc>
        <w:tc>
          <w:tcPr>
            <w:tcW w:type="dxa" w:w="1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12.00%</w:t>
            </w:r>
          </w:p>
        </w:tc>
        <w:tc>
          <w:tcPr>
            <w:tcW w:type="dxa" w:w="1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−3.50 pp</w:t>
            </w:r>
          </w:p>
        </w:tc>
        <w:tc>
          <w:tcPr>
            <w:tcW w:type="dxa" w:w="41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Current pattern lowers the estimate below normal.</w:t>
            </w:r>
          </w:p>
        </w:tc>
      </w:tr>
    </w:tbl>
    <w:p>
      <w:pPr>
        <w:spacing w:before="0" w:after="40"/>
      </w:pPr>
    </w:p>
    <w:p>
      <w:pPr>
        <w:pStyle w:val="Heading2"/>
      </w:pPr>
      <w:r>
        <w:t>4.2 Why lift reduces number fixation</w:t>
      </w:r>
    </w:p>
    <w:p>
      <w:r>
        <w:t>Suppose number 5 has a high lifetime frequency. Ranking absolute context probability can keep number 5 near the top even when its current pattern adds nothing special. Lift subtracts number 5’s own baseline. To rank high, its current context must improve on what is already normal for number 5.</w:t>
      </w:r>
    </w:p>
    <w:tbl>
      <w:tblPr>
        <w:tblStyle w:val="TableGrid"/>
        <w:tblW w:type="dxa" w:w="9360"/>
        <w:jc w:val="left"/>
        <w:tblLayout w:type="fixed"/>
        <w:tblLook w:firstColumn="1" w:firstRow="1" w:lastColumn="0" w:lastRow="0" w:noHBand="0" w:noVBand="1" w:val="04A0"/>
        <w:tblInd w:type="dxa" w:w="120"/>
      </w:tblPr>
      <w:tblGrid>
        <w:gridCol w:w="1200"/>
        <w:gridCol w:w="2200"/>
        <w:gridCol w:w="1800"/>
        <w:gridCol w:w="1500"/>
        <w:gridCol w:w="2660"/>
      </w:tblGrid>
      <w:tr>
        <w:trPr>
          <w:tblHeader w:val="true"/>
          <w:cantSplit/>
        </w:trPr>
        <w:tc>
          <w:tcPr>
            <w:tcW w:type="dxa" w:w="12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Number</w:t>
            </w:r>
          </w:p>
        </w:tc>
        <w:tc>
          <w:tcPr>
            <w:tcW w:type="dxa" w:w="22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Context probability</w:t>
            </w:r>
          </w:p>
        </w:tc>
        <w:tc>
          <w:tcPr>
            <w:tcW w:type="dxa" w:w="18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Own baseline</w:t>
            </w:r>
          </w:p>
        </w:tc>
        <w:tc>
          <w:tcPr>
            <w:tcW w:type="dxa" w:w="15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Lift</w:t>
            </w:r>
          </w:p>
        </w:tc>
        <w:tc>
          <w:tcPr>
            <w:tcW w:type="dxa" w:w="26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Rank signal</w:t>
            </w:r>
          </w:p>
        </w:tc>
      </w:tr>
      <w:tr>
        <w:trPr>
          <w:cantSplit/>
        </w:trPr>
        <w:tc>
          <w:tcPr>
            <w:tcW w:type="dxa" w:w="1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5</w:t>
            </w:r>
          </w:p>
        </w:tc>
        <w:tc>
          <w:tcPr>
            <w:tcW w:type="dxa" w:w="22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14.00%</w:t>
            </w:r>
          </w:p>
        </w:tc>
        <w:tc>
          <w:tcPr>
            <w:tcW w:type="dxa" w:w="18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13.80%</w:t>
            </w:r>
          </w:p>
        </w:tc>
        <w:tc>
          <w:tcPr>
            <w:tcW w:type="dxa" w:w="15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+0.20 pp</w:t>
            </w:r>
          </w:p>
        </w:tc>
        <w:tc>
          <w:tcPr>
            <w:tcW w:type="dxa" w:w="26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Small improvement</w:t>
            </w:r>
          </w:p>
        </w:tc>
      </w:tr>
      <w:tr>
        <w:trPr>
          <w:cantSplit/>
        </w:trPr>
        <w:tc>
          <w:tcPr>
            <w:tcW w:type="dxa" w:w="1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31</w:t>
            </w:r>
          </w:p>
        </w:tc>
        <w:tc>
          <w:tcPr>
            <w:tcW w:type="dxa" w:w="22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13.20%</w:t>
            </w:r>
          </w:p>
        </w:tc>
        <w:tc>
          <w:tcPr>
            <w:tcW w:type="dxa" w:w="18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11.40%</w:t>
            </w:r>
          </w:p>
        </w:tc>
        <w:tc>
          <w:tcPr>
            <w:tcW w:type="dxa" w:w="15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+1.80 pp</w:t>
            </w:r>
          </w:p>
        </w:tc>
        <w:tc>
          <w:tcPr>
            <w:tcW w:type="dxa" w:w="26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8"/>
              </w:rPr>
            </w:r>
            <w:r>
              <w:rPr>
                <w:rFonts w:ascii="Calibri" w:hAnsi="Calibri"/>
                <w:b w:val="0"/>
                <w:color w:val="20252B"/>
                <w:sz w:val="18"/>
              </w:rPr>
              <w:t>Larger improvement</w:t>
            </w:r>
          </w:p>
        </w:tc>
      </w:tr>
    </w:tbl>
    <w:p>
      <w:pPr>
        <w:spacing w:before="0" w:after="40"/>
      </w:pPr>
    </w:p>
    <w:p>
      <w:r>
        <w:t>Although number 5 has the higher absolute context probability, number 31 has the higher lift and therefore the stronger MKFR ranking signal.</w:t>
      </w:r>
    </w:p>
    <w:p>
      <w:pPr>
        <w:pStyle w:val="Heading2"/>
      </w:pPr>
      <w:r>
        <w:t>4.3 From lift to the displayed 0–1 score</w:t>
      </w:r>
    </w:p>
    <w:p>
      <w:r>
        <w:t>Rand AI min–max scales the 49 lift values. The lowest current lift becomes 0 and the highest becomes 1. If all lifts are equal, all scores become 0.</w:t>
      </w:r>
    </w:p>
    <w:p>
      <w:pPr>
        <w:spacing w:before="100" w:after="80"/>
        <w:jc w:val="center"/>
        <w:shd w:fill="F2F4F7" w:val="clear"/>
      </w:pPr>
      <w:r>
        <w:rPr>
          <w:rFonts w:ascii="Consolas" w:hAnsi="Consolas"/>
          <w:b/>
          <w:color w:val="0B2545"/>
          <w:sz w:val="21"/>
        </w:rPr>
        <w:t>display score = (lift − smallest lift) ÷ (largest lift − smallest lift)</w:t>
      </w:r>
    </w:p>
    <w:p>
      <w:pPr>
        <w:spacing w:after="180"/>
        <w:jc w:val="center"/>
      </w:pPr>
      <w:r>
        <w:rPr>
          <w:rFonts w:ascii="Calibri" w:hAnsi="Calibri"/>
          <w:i/>
          <w:color w:val="5F6B76"/>
          <w:sz w:val="19"/>
        </w:rPr>
        <w:t>A score of 0.90 means high relative lift in this ranking; it does not mean 90% probability.</w:t>
      </w:r>
    </w:p>
    <w:p>
      <w:pPr>
        <w:pStyle w:val="Heading2"/>
      </w:pPr>
      <w:r>
        <w:t>4.4 Ranking and tie-breaking</w:t>
      </w:r>
    </w:p>
    <w:p>
      <w:pPr>
        <w:numPr>
          <w:ilvl w:val="0"/>
          <w:numId w:val="12"/>
        </w:numPr>
      </w:pPr>
      <w:r>
        <w:rPr>
          <w:rFonts w:ascii="Calibri" w:hAnsi="Calibri"/>
        </w:rPr>
        <w:t>Higher normalized transition-lift score ranks first.</w:t>
      </w:r>
    </w:p>
    <w:p>
      <w:pPr>
        <w:numPr>
          <w:ilvl w:val="0"/>
          <w:numId w:val="12"/>
        </w:numPr>
      </w:pPr>
      <w:r>
        <w:rPr>
          <w:rFonts w:ascii="Calibri" w:hAnsi="Calibri"/>
        </w:rPr>
        <w:t>If scores tie, the larger current gap ranks first.</w:t>
      </w:r>
    </w:p>
    <w:p>
      <w:pPr>
        <w:numPr>
          <w:ilvl w:val="0"/>
          <w:numId w:val="12"/>
        </w:numPr>
      </w:pPr>
      <w:r>
        <w:rPr>
          <w:rFonts w:ascii="Calibri" w:hAnsi="Calibri"/>
        </w:rPr>
        <w:t>If score and gap also tie, the smaller number ranks first.</w:t>
      </w:r>
    </w:p>
    <w:p>
      <w:r>
        <w:t>The first six ranked numbers become MKFR’s Top 6. Tie-breaking makes the output deterministic; it does not add new statistical evidence.</w:t>
      </w:r>
    </w:p>
    <w:p>
      <w:pPr>
        <w:pStyle w:val="Heading1"/>
        <w:pageBreakBefore/>
      </w:pPr>
      <w:r>
        <w:t>5. How Rand AI implements MKFR</w:t>
      </w:r>
    </w:p>
    <w:p>
      <w:pPr>
        <w:spacing w:after="200"/>
      </w:pPr>
      <w:r>
        <w:rPr>
          <w:rFonts w:ascii="Calibri" w:hAnsi="Calibri"/>
          <w:i/>
          <w:color w:val="1F4D78"/>
          <w:sz w:val="22"/>
        </w:rPr>
        <w:t>The program updates 49 histories and their observed context tables one draw at a time, always training before it remembers the current outcome.</w:t>
      </w:r>
    </w:p>
    <w:p>
      <w:pPr>
        <w:pStyle w:val="Heading2"/>
      </w:pPr>
      <w:r>
        <w:t>5.1 State kept in memory</w:t>
      </w:r>
    </w:p>
    <w:tbl>
      <w:tblPr>
        <w:tblStyle w:val="TableGrid"/>
        <w:tblW w:type="dxa" w:w="9360"/>
        <w:jc w:val="left"/>
        <w:tblLayout w:type="fixed"/>
        <w:tblLook w:firstColumn="1" w:firstRow="1" w:lastColumn="0" w:lastRow="0" w:noHBand="0" w:noVBand="1" w:val="04A0"/>
        <w:tblInd w:type="dxa" w:w="120"/>
      </w:tblPr>
      <w:tblGrid>
        <w:gridCol w:w="3300"/>
        <w:gridCol w:w="6060"/>
      </w:tblGrid>
      <w:tr>
        <w:trPr>
          <w:tblHeader w:val="true"/>
          <w:cantSplit/>
        </w:trPr>
        <w:tc>
          <w:tcPr>
            <w:tcW w:type="dxa" w:w="33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Program state</w:t>
            </w:r>
          </w:p>
        </w:tc>
        <w:tc>
          <w:tcPr>
            <w:tcW w:type="dxa" w:w="60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Purpose</w:t>
            </w:r>
          </w:p>
        </w:tc>
      </w:tr>
      <w:tr>
        <w:trPr>
          <w:cantSplit/>
        </w:trPr>
        <w:tc>
          <w:tcPr>
            <w:tcW w:type="dxa" w:w="3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mkfr_histories[1…49]</w:t>
            </w:r>
          </w:p>
        </w:tc>
        <w:tc>
          <w:tcPr>
            <w:tcW w:type="dxa" w:w="60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A rolling D / !D history, maximum length 20, for each number.</w:t>
            </w:r>
          </w:p>
        </w:tc>
      </w:tr>
      <w:tr>
        <w:trPr>
          <w:cantSplit/>
        </w:trPr>
        <w:tc>
          <w:tcPr>
            <w:tcW w:type="dxa" w:w="33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mkfr_transitions[number][order][context]</w:t>
            </w:r>
          </w:p>
        </w:tc>
        <w:tc>
          <w:tcPr>
            <w:tcW w:type="dxa" w:w="60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Two counts: next !D and next D for one exact context.</w:t>
            </w:r>
          </w:p>
        </w:tc>
      </w:tr>
      <w:tr>
        <w:trPr>
          <w:cantSplit/>
        </w:trPr>
        <w:tc>
          <w:tcPr>
            <w:tcW w:type="dxa" w:w="3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appearances[1…49]</w:t>
            </w:r>
          </w:p>
        </w:tc>
        <w:tc>
          <w:tcPr>
            <w:tcW w:type="dxa" w:w="60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Lifetime D count used in each number’s baseline.</w:t>
            </w:r>
          </w:p>
        </w:tc>
      </w:tr>
      <w:tr>
        <w:trPr>
          <w:cantSplit/>
        </w:trPr>
        <w:tc>
          <w:tcPr>
            <w:tcW w:type="dxa" w:w="33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draw_count</w:t>
            </w:r>
          </w:p>
        </w:tc>
        <w:tc>
          <w:tcPr>
            <w:tcW w:type="dxa" w:w="60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Number of draws already remembered.</w:t>
            </w:r>
          </w:p>
        </w:tc>
      </w:tr>
      <w:tr>
        <w:trPr>
          <w:cantSplit/>
        </w:trPr>
        <w:tc>
          <w:tcPr>
            <w:tcW w:type="dxa" w:w="3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MAX_ORDER = 20</w:t>
            </w:r>
          </w:p>
        </w:tc>
        <w:tc>
          <w:tcPr>
            <w:tcW w:type="dxa" w:w="60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Largest suffix the model may inspect.</w:t>
            </w:r>
          </w:p>
        </w:tc>
      </w:tr>
      <w:tr>
        <w:trPr>
          <w:cantSplit/>
        </w:trPr>
        <w:tc>
          <w:tcPr>
            <w:tcW w:type="dxa" w:w="33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MIN_CONTEXT_SUPPORT = 8</w:t>
            </w:r>
          </w:p>
        </w:tc>
        <w:tc>
          <w:tcPr>
            <w:tcW w:type="dxa" w:w="60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Minimum evidence required before a context can update probability.</w:t>
            </w:r>
          </w:p>
        </w:tc>
      </w:tr>
      <w:tr>
        <w:trPr>
          <w:cantSplit/>
        </w:trPr>
        <w:tc>
          <w:tcPr>
            <w:tcW w:type="dxa" w:w="33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PRIOR_STRENGTH = 8</w:t>
            </w:r>
          </w:p>
        </w:tc>
        <w:tc>
          <w:tcPr>
            <w:tcW w:type="dxa" w:w="60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Weight given to the previous probability during smoothing.</w:t>
            </w:r>
          </w:p>
        </w:tc>
      </w:tr>
    </w:tbl>
    <w:p>
      <w:pPr>
        <w:spacing w:before="0" w:after="40"/>
      </w:pPr>
    </w:p>
    <w:p>
      <w:pPr>
        <w:pStyle w:val="Heading2"/>
      </w:pPr>
      <w:r>
        <w:t>5.2 Training one new draw</w:t>
      </w:r>
    </w:p>
    <w:p>
      <w:pPr>
        <w:numPr>
          <w:ilvl w:val="0"/>
          <w:numId w:val="13"/>
        </w:numPr>
      </w:pPr>
      <w:r>
        <w:rPr>
          <w:rFonts w:ascii="Calibri" w:hAnsi="Calibri"/>
        </w:rPr>
        <w:t>For each number, label the new draw as target 1 (D) or target 0 (!D).</w:t>
      </w:r>
    </w:p>
    <w:p>
      <w:pPr>
        <w:numPr>
          <w:ilvl w:val="0"/>
          <w:numId w:val="13"/>
        </w:numPr>
      </w:pPr>
      <w:r>
        <w:rPr>
          <w:rFonts w:ascii="Calibri" w:hAnsi="Calibri"/>
        </w:rPr>
        <w:t>Before appending that target, read the existing history. Build its suffix of order 1, then order 2, continuing up to order 20.</w:t>
      </w:r>
    </w:p>
    <w:p>
      <w:pPr>
        <w:numPr>
          <w:ilvl w:val="0"/>
          <w:numId w:val="13"/>
        </w:numPr>
      </w:pPr>
      <w:r>
        <w:rPr>
          <w:rFonts w:ascii="Calibri" w:hAnsi="Calibri"/>
        </w:rPr>
        <w:t>For every available order, increment the stored next-!D or next-D count for that number and exact context.</w:t>
      </w:r>
    </w:p>
    <w:p>
      <w:pPr>
        <w:numPr>
          <w:ilvl w:val="0"/>
          <w:numId w:val="13"/>
        </w:numPr>
      </w:pPr>
      <w:r>
        <w:rPr>
          <w:rFonts w:ascii="Calibri" w:hAnsi="Calibri"/>
        </w:rPr>
        <w:t>After all transition tables have learned the target, append D or !D to each number’s rolling history and update appearance counts.</w:t>
      </w:r>
    </w:p>
    <w:p>
      <w:pPr>
        <w:numPr>
          <w:ilvl w:val="0"/>
          <w:numId w:val="13"/>
        </w:numPr>
      </w:pPr>
      <w:r>
        <w:rPr>
          <w:rFonts w:ascii="Calibri" w:hAnsi="Calibri"/>
        </w:rPr>
        <w:t>Now compute the prediction for the following draw from the newly known history.</w:t>
      </w:r>
    </w:p>
    <w:p>
      <w:pPr>
        <w:spacing w:before="120" w:after="180"/>
        <w:ind w:left="173" w:right="173"/>
        <w:shd w:fill="EAF5EF" w:val="clear"/>
        <w:pBdr>
          <w:top w:val="single" w:sz="6" w:space="4" w:color="246B4A"/>
          <w:left w:val="single" w:sz="6" w:space="4" w:color="246B4A"/>
          <w:bottom w:val="single" w:sz="6" w:space="4" w:color="246B4A"/>
          <w:right w:val="single" w:sz="6" w:space="4" w:color="246B4A"/>
        </w:pBdr>
      </w:pPr>
      <w:r>
        <w:rPr>
          <w:rFonts w:ascii="Calibri" w:hAnsi="Calibri"/>
          <w:b/>
          <w:color w:val="246B4A"/>
        </w:rPr>
        <w:t xml:space="preserve">No future leakage: </w:t>
      </w:r>
      <w:r>
        <w:rPr>
          <w:rFonts w:ascii="Calibri" w:hAnsi="Calibri"/>
          <w:color w:val="20252B"/>
        </w:rPr>
        <w:t>The current outcome is the target during training, never part of its own input context. Only after training is it appended for the next prediction.</w:t>
      </w:r>
    </w:p>
    <w:p>
      <w:pPr>
        <w:pStyle w:val="Heading2"/>
      </w:pPr>
      <w:r>
        <w:t>5.3 Compact pseudocode</w:t>
      </w:r>
    </w:p>
    <w:p>
      <w:pPr>
        <w:spacing w:before="100" w:after="80"/>
        <w:jc w:val="center"/>
        <w:shd w:fill="F2F4F7" w:val="clear"/>
      </w:pPr>
      <w:r>
        <w:rPr>
          <w:rFonts w:ascii="Consolas" w:hAnsi="Consolas"/>
          <w:b/>
          <w:color w:val="0B2545"/>
          <w:sz w:val="21"/>
        </w:rPr>
        <w:t>for each draw and number: target = D or !D; for order 1…20: counts[number, order, recent_context][target] += 1; append target; predict next by baseline → supported contexts → lift → rank</w:t>
      </w:r>
    </w:p>
    <w:p>
      <w:pPr>
        <w:spacing w:after="180"/>
        <w:jc w:val="center"/>
      </w:pPr>
      <w:r>
        <w:rPr>
          <w:rFonts w:ascii="Calibri" w:hAnsi="Calibri"/>
          <w:i/>
          <w:color w:val="5F6B76"/>
          <w:sz w:val="19"/>
        </w:rPr>
        <w:t>Only observed contexts are stored, using an integer bit pattern internally.</w:t>
      </w:r>
    </w:p>
    <w:p>
      <w:r>
        <w:t>The MKFR constants, training loop, probability backoff, transition lift, and display details are implemented in src/rand_ai/strategy_prediction.py.</w:t>
      </w:r>
    </w:p>
    <w:p>
      <w:pPr>
        <w:pStyle w:val="Heading2"/>
      </w:pPr>
      <w:r>
        <w:t>5.4 Why an integer context is used internally</w:t>
      </w:r>
    </w:p>
    <w:p>
      <w:r>
        <w:t>The program stores !D as bit 0 and D as bit 1. A short sequence can then be used as a compact dictionary key instead of a long text string. This is an efficiency choice; the interface converts the selected suffix back into a human-readable D / !D pattern.</w:t>
      </w:r>
    </w:p>
    <w:p>
      <w:pPr>
        <w:pStyle w:val="Heading1"/>
        <w:pageBreakBefore/>
      </w:pPr>
      <w:r>
        <w:t>6. How to interpret MKFR results</w:t>
      </w:r>
    </w:p>
    <w:p>
      <w:pPr>
        <w:spacing w:after="200"/>
      </w:pPr>
      <w:r>
        <w:rPr>
          <w:rFonts w:ascii="Calibri" w:hAnsi="Calibri"/>
          <w:i/>
          <w:color w:val="1F4D78"/>
          <w:sz w:val="22"/>
        </w:rPr>
        <w:t>Read all five detail fields together. No single field is enough to judge a candidate responsibly.</w:t>
      </w:r>
    </w:p>
    <w:tbl>
      <w:tblPr>
        <w:tblStyle w:val="TableGrid"/>
        <w:tblW w:type="dxa" w:w="9360"/>
        <w:jc w:val="left"/>
        <w:tblLayout w:type="fixed"/>
        <w:tblLook w:firstColumn="1" w:firstRow="1" w:lastColumn="0" w:lastRow="0" w:noHBand="0" w:noVBand="1" w:val="04A0"/>
        <w:tblInd w:type="dxa" w:w="120"/>
      </w:tblPr>
      <w:tblGrid>
        <w:gridCol w:w="2150"/>
        <w:gridCol w:w="4310"/>
        <w:gridCol w:w="2900"/>
      </w:tblGrid>
      <w:tr>
        <w:trPr>
          <w:tblHeader w:val="true"/>
          <w:cantSplit/>
        </w:trPr>
        <w:tc>
          <w:tcPr>
            <w:tcW w:type="dxa" w:w="215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Displayed item</w:t>
            </w:r>
          </w:p>
        </w:tc>
        <w:tc>
          <w:tcPr>
            <w:tcW w:type="dxa" w:w="431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Correct interpretation</w:t>
            </w:r>
          </w:p>
        </w:tc>
        <w:tc>
          <w:tcPr>
            <w:tcW w:type="dxa" w:w="29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What it is not</w:t>
            </w:r>
          </w:p>
        </w:tc>
      </w:tr>
      <w:tr>
        <w:trPr>
          <w:cantSplit/>
        </w:trPr>
        <w:tc>
          <w:tcPr>
            <w:tcW w:type="dxa" w:w="21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Context probability 15.20%</w:t>
            </w:r>
          </w:p>
        </w:tc>
        <w:tc>
          <w:tcPr>
            <w:tcW w:type="dxa" w:w="431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Smoothed estimate after all supported suffixes were processed.</w:t>
            </w:r>
          </w:p>
        </w:tc>
        <w:tc>
          <w:tcPr>
            <w:tcW w:type="dxa" w:w="2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A guaranteed chance.</w:t>
            </w:r>
          </w:p>
        </w:tc>
      </w:tr>
      <w:tr>
        <w:trPr>
          <w:cantSplit/>
        </w:trPr>
        <w:tc>
          <w:tcPr>
            <w:tcW w:type="dxa" w:w="215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Baseline probability 12.00%</w:t>
            </w:r>
          </w:p>
        </w:tc>
        <w:tc>
          <w:tcPr>
            <w:tcW w:type="dxa" w:w="431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This number’s smoothed normal historical D rate.</w:t>
            </w:r>
          </w:p>
        </w:tc>
        <w:tc>
          <w:tcPr>
            <w:tcW w:type="dxa" w:w="2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The same fixed value for every number.</w:t>
            </w:r>
          </w:p>
        </w:tc>
      </w:tr>
      <w:tr>
        <w:trPr>
          <w:cantSplit/>
        </w:trPr>
        <w:tc>
          <w:tcPr>
            <w:tcW w:type="dxa" w:w="21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Transition lift +3.20 pp</w:t>
            </w:r>
          </w:p>
        </w:tc>
        <w:tc>
          <w:tcPr>
            <w:tcW w:type="dxa" w:w="431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The current context estimate is 3.20 percentage points above baseline.</w:t>
            </w:r>
          </w:p>
        </w:tc>
        <w:tc>
          <w:tcPr>
            <w:tcW w:type="dxa" w:w="2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A 3.20% relative increase.</w:t>
            </w:r>
          </w:p>
        </w:tc>
      </w:tr>
      <w:tr>
        <w:trPr>
          <w:cantSplit/>
        </w:trPr>
        <w:tc>
          <w:tcPr>
            <w:tcW w:type="dxa" w:w="215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Order 4/20: D!D!DD</w:t>
            </w:r>
          </w:p>
        </w:tc>
        <w:tc>
          <w:tcPr>
            <w:tcW w:type="dxa" w:w="431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Order 4 is the longest supported suffix used; 20 is the maximum.</w:t>
            </w:r>
          </w:p>
        </w:tc>
        <w:tc>
          <w:tcPr>
            <w:tcW w:type="dxa" w:w="2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Proof that all 20 draws were useful.</w:t>
            </w:r>
          </w:p>
        </w:tc>
      </w:tr>
      <w:tr>
        <w:trPr>
          <w:cantSplit/>
        </w:trPr>
        <w:tc>
          <w:tcPr>
            <w:tcW w:type="dxa" w:w="21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Context support 11</w:t>
            </w:r>
          </w:p>
        </w:tc>
        <w:tc>
          <w:tcPr>
            <w:tcW w:type="dxa" w:w="431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The selected order-4 exact context had 11 recorded next-outcomes.</w:t>
            </w:r>
          </w:p>
        </w:tc>
        <w:tc>
          <w:tcPr>
            <w:tcW w:type="dxa" w:w="2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Total history length.</w:t>
            </w:r>
          </w:p>
        </w:tc>
      </w:tr>
      <w:tr>
        <w:trPr>
          <w:cantSplit/>
        </w:trPr>
        <w:tc>
          <w:tcPr>
            <w:tcW w:type="dxa" w:w="215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Score 0.87</w:t>
            </w:r>
          </w:p>
        </w:tc>
        <w:tc>
          <w:tcPr>
            <w:tcW w:type="dxa" w:w="431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This lift is near the high end of today’s 49 lifts.</w:t>
            </w:r>
          </w:p>
        </w:tc>
        <w:tc>
          <w:tcPr>
            <w:tcW w:type="dxa" w:w="2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6"/>
              </w:rPr>
            </w:r>
            <w:r>
              <w:rPr>
                <w:rFonts w:ascii="Calibri" w:hAnsi="Calibri"/>
                <w:b w:val="0"/>
                <w:color w:val="20252B"/>
                <w:sz w:val="16"/>
              </w:rPr>
              <w:t>An 87% chance.</w:t>
            </w:r>
          </w:p>
        </w:tc>
      </w:tr>
    </w:tbl>
    <w:p>
      <w:pPr>
        <w:spacing w:before="0" w:after="40"/>
      </w:pPr>
    </w:p>
    <w:p>
      <w:pPr>
        <w:pStyle w:val="Heading2"/>
      </w:pPr>
      <w:r>
        <w:t>6.1 Reading an example from left to right</w:t>
      </w:r>
    </w:p>
    <w:p>
      <w:pPr>
        <w:spacing w:before="120" w:after="180"/>
        <w:ind w:left="173" w:right="173"/>
        <w:shd w:fill="F4F6F9" w:val="clear"/>
        <w:pBdr>
          <w:top w:val="single" w:sz="6" w:space="4" w:color="2E74B5"/>
          <w:left w:val="single" w:sz="6" w:space="4" w:color="2E74B5"/>
          <w:bottom w:val="single" w:sz="6" w:space="4" w:color="2E74B5"/>
          <w:right w:val="single" w:sz="6" w:space="4" w:color="2E74B5"/>
        </w:pBdr>
      </w:pPr>
      <w:r>
        <w:rPr>
          <w:rFonts w:ascii="Calibri" w:hAnsi="Calibri"/>
          <w:b/>
          <w:color w:val="2E74B5"/>
        </w:rPr>
        <w:t xml:space="preserve">Example: </w:t>
      </w:r>
      <w:r>
        <w:rPr>
          <w:rFonts w:ascii="Calibri" w:hAnsi="Calibri"/>
          <w:color w:val="20252B"/>
        </w:rPr>
        <w:t>Number 23 shows Context probability 15.20%, Baseline 12.00%, Lift +3.20 pp, Order 4/20: D!D!DD, Support 11, Score 0.87.</w:t>
      </w:r>
    </w:p>
    <w:p>
      <w:pPr>
        <w:numPr>
          <w:ilvl w:val="0"/>
          <w:numId w:val="14"/>
        </w:numPr>
      </w:pPr>
      <w:r>
        <w:rPr>
          <w:rFonts w:ascii="Calibri" w:hAnsi="Calibri"/>
        </w:rPr>
        <w:t>The current four-draw suffix for number 23 is D, !D, !D, D from older to newer.</w:t>
      </w:r>
    </w:p>
    <w:p>
      <w:pPr>
        <w:numPr>
          <w:ilvl w:val="0"/>
          <w:numId w:val="14"/>
        </w:numPr>
      </w:pPr>
      <w:r>
        <w:rPr>
          <w:rFonts w:ascii="Calibri" w:hAnsi="Calibri"/>
        </w:rPr>
        <w:t>That exact order-4 suffix has at least 8 examples; here it has 11.</w:t>
      </w:r>
    </w:p>
    <w:p>
      <w:pPr>
        <w:numPr>
          <w:ilvl w:val="0"/>
          <w:numId w:val="14"/>
        </w:numPr>
      </w:pPr>
      <w:r>
        <w:rPr>
          <w:rFonts w:ascii="Calibri" w:hAnsi="Calibri"/>
        </w:rPr>
        <w:t>After hierarchical smoothing, the estimated next-D probability is 15.20%.</w:t>
      </w:r>
    </w:p>
    <w:p>
      <w:pPr>
        <w:numPr>
          <w:ilvl w:val="0"/>
          <w:numId w:val="14"/>
        </w:numPr>
      </w:pPr>
      <w:r>
        <w:rPr>
          <w:rFonts w:ascii="Calibri" w:hAnsi="Calibri"/>
        </w:rPr>
        <w:t>Number 23’s own baseline is 12.00%, so the pattern adds +3.20 percentage points.</w:t>
      </w:r>
    </w:p>
    <w:p>
      <w:pPr>
        <w:numPr>
          <w:ilvl w:val="0"/>
          <w:numId w:val="14"/>
        </w:numPr>
      </w:pPr>
      <w:r>
        <w:rPr>
          <w:rFonts w:ascii="Calibri" w:hAnsi="Calibri"/>
        </w:rPr>
        <w:t>Compared with all 49 current lift values, +3.20 pp scales to 0.87.</w:t>
      </w:r>
    </w:p>
    <w:p>
      <w:pPr>
        <w:numPr>
          <w:ilvl w:val="0"/>
          <w:numId w:val="14"/>
        </w:numPr>
      </w:pPr>
      <w:r>
        <w:rPr>
          <w:rFonts w:ascii="Calibri" w:hAnsi="Calibri"/>
        </w:rPr>
        <w:t>The result supports a relatively high MKFR rank. It still does not make D certain.</w:t>
      </w:r>
    </w:p>
    <w:p>
      <w:pPr>
        <w:pStyle w:val="Heading2"/>
      </w:pPr>
      <w:r>
        <w:t>6.2 Special cases</w:t>
      </w:r>
    </w:p>
    <w:tbl>
      <w:tblPr>
        <w:tblStyle w:val="TableGrid"/>
        <w:tblW w:type="dxa" w:w="9360"/>
        <w:jc w:val="left"/>
        <w:tblLayout w:type="fixed"/>
        <w:tblLook w:firstColumn="1" w:firstRow="1" w:lastColumn="0" w:lastRow="0" w:noHBand="0" w:noVBand="1" w:val="04A0"/>
        <w:tblInd w:type="dxa" w:w="120"/>
      </w:tblPr>
      <w:tblGrid>
        <w:gridCol w:w="2350"/>
        <w:gridCol w:w="3600"/>
        <w:gridCol w:w="3410"/>
      </w:tblGrid>
      <w:tr>
        <w:trPr>
          <w:tblHeader w:val="true"/>
          <w:cantSplit/>
        </w:trPr>
        <w:tc>
          <w:tcPr>
            <w:tcW w:type="dxa" w:w="235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Situation</w:t>
            </w:r>
          </w:p>
        </w:tc>
        <w:tc>
          <w:tcPr>
            <w:tcW w:type="dxa" w:w="36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What Rand AI does</w:t>
            </w:r>
          </w:p>
        </w:tc>
        <w:tc>
          <w:tcPr>
            <w:tcW w:type="dxa" w:w="341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How to read it</w:t>
            </w:r>
          </w:p>
        </w:tc>
      </w:tr>
      <w:tr>
        <w:trPr>
          <w:cantSplit/>
        </w:trPr>
        <w:tc>
          <w:tcPr>
            <w:tcW w:type="dxa" w:w="23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No context reaches support 8</w:t>
            </w:r>
          </w:p>
        </w:tc>
        <w:tc>
          <w:tcPr>
            <w:tcW w:type="dxa" w:w="3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Uses the number’s baseline; selected order 0; support 0.</w:t>
            </w:r>
          </w:p>
        </w:tc>
        <w:tc>
          <w:tcPr>
            <w:tcW w:type="dxa" w:w="341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No reliable pattern-specific lift was found.</w:t>
            </w:r>
          </w:p>
        </w:tc>
      </w:tr>
      <w:tr>
        <w:trPr>
          <w:cantSplit/>
        </w:trPr>
        <w:tc>
          <w:tcPr>
            <w:tcW w:type="dxa" w:w="235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Long order is unsupported</w:t>
            </w:r>
          </w:p>
        </w:tc>
        <w:tc>
          <w:tcPr>
            <w:tcW w:type="dxa" w:w="3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Skips it and keeps the latest supported shorter estimate.</w:t>
            </w:r>
          </w:p>
        </w:tc>
        <w:tc>
          <w:tcPr>
            <w:tcW w:type="dxa" w:w="341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A shorter pattern supplied the usable evidence.</w:t>
            </w:r>
          </w:p>
        </w:tc>
      </w:tr>
      <w:tr>
        <w:trPr>
          <w:cantSplit/>
        </w:trPr>
        <w:tc>
          <w:tcPr>
            <w:tcW w:type="dxa" w:w="235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Positive probability but negative lift</w:t>
            </w:r>
          </w:p>
        </w:tc>
        <w:tc>
          <w:tcPr>
            <w:tcW w:type="dxa" w:w="36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Ranks by the negative lift.</w:t>
            </w:r>
          </w:p>
        </w:tc>
        <w:tc>
          <w:tcPr>
            <w:tcW w:type="dxa" w:w="341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The context is less favorable than this number’s own normal rate.</w:t>
            </w:r>
          </w:p>
        </w:tc>
      </w:tr>
      <w:tr>
        <w:trPr>
          <w:cantSplit/>
        </w:trPr>
        <w:tc>
          <w:tcPr>
            <w:tcW w:type="dxa" w:w="235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Several equal lifts</w:t>
            </w:r>
          </w:p>
        </w:tc>
        <w:tc>
          <w:tcPr>
            <w:tcW w:type="dxa" w:w="36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Uses gap, then number, as tie-breakers.</w:t>
            </w:r>
          </w:p>
        </w:tc>
        <w:tc>
          <w:tcPr>
            <w:tcW w:type="dxa" w:w="341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Later tie-breaks are deterministic, not probabilistic.</w:t>
            </w:r>
          </w:p>
        </w:tc>
      </w:tr>
    </w:tbl>
    <w:p>
      <w:pPr>
        <w:spacing w:before="0" w:after="40"/>
      </w:pPr>
    </w:p>
    <w:p>
      <w:pPr>
        <w:pStyle w:val="Heading1"/>
        <w:pageBreakBefore w:val="0"/>
      </w:pPr>
      <w:r>
        <w:t>7. Strengths, limits, and responsible use</w:t>
      </w:r>
    </w:p>
    <w:p>
      <w:pPr>
        <w:spacing w:after="200"/>
      </w:pPr>
      <w:r>
        <w:rPr>
          <w:rFonts w:ascii="Calibri" w:hAnsi="Calibri"/>
          <w:i/>
          <w:color w:val="1F4D78"/>
          <w:sz w:val="22"/>
        </w:rPr>
        <w:t>MKFR is richer than a simple gap model, but the extra detail creates a serious risk of sparse data and accidental pattern storytelling.</w:t>
      </w:r>
    </w:p>
    <w:p>
      <w:pPr>
        <w:pStyle w:val="Heading2"/>
      </w:pPr>
      <w:r>
        <w:t>7.1 Strengths</w:t>
      </w:r>
    </w:p>
    <w:p>
      <w:pPr>
        <w:numPr>
          <w:ilvl w:val="0"/>
          <w:numId w:val="10"/>
        </w:numPr>
      </w:pPr>
      <w:r>
        <w:rPr>
          <w:rFonts w:ascii="Calibri" w:hAnsi="Calibri"/>
        </w:rPr>
        <w:t>Maintains a separate transition model for each number.</w:t>
      </w:r>
    </w:p>
    <w:p>
      <w:pPr>
        <w:numPr>
          <w:ilvl w:val="0"/>
          <w:numId w:val="10"/>
        </w:numPr>
      </w:pPr>
      <w:r>
        <w:rPr>
          <w:rFonts w:ascii="Calibri" w:hAnsi="Calibri"/>
        </w:rPr>
        <w:t>Represents recent history directly as D / !D combinations.</w:t>
      </w:r>
    </w:p>
    <w:p>
      <w:pPr>
        <w:numPr>
          <w:ilvl w:val="0"/>
          <w:numId w:val="10"/>
        </w:numPr>
      </w:pPr>
      <w:r>
        <w:rPr>
          <w:rFonts w:ascii="Calibri" w:hAnsi="Calibri"/>
        </w:rPr>
        <w:t>Uses variable order instead of forcing every number to use all 20 draws.</w:t>
      </w:r>
    </w:p>
    <w:p>
      <w:pPr>
        <w:numPr>
          <w:ilvl w:val="0"/>
          <w:numId w:val="10"/>
        </w:numPr>
      </w:pPr>
      <w:r>
        <w:rPr>
          <w:rFonts w:ascii="Calibri" w:hAnsi="Calibri"/>
        </w:rPr>
        <w:t>Requires minimum context support before a pattern can affect the estimate.</w:t>
      </w:r>
    </w:p>
    <w:p>
      <w:pPr>
        <w:numPr>
          <w:ilvl w:val="0"/>
          <w:numId w:val="10"/>
        </w:numPr>
      </w:pPr>
      <w:r>
        <w:rPr>
          <w:rFonts w:ascii="Calibri" w:hAnsi="Calibri"/>
        </w:rPr>
        <w:t>Smooths longer contexts with shorter evidence rather than trusting tiny samples alone.</w:t>
      </w:r>
    </w:p>
    <w:p>
      <w:pPr>
        <w:numPr>
          <w:ilvl w:val="0"/>
          <w:numId w:val="10"/>
        </w:numPr>
      </w:pPr>
      <w:r>
        <w:rPr>
          <w:rFonts w:ascii="Calibri" w:hAnsi="Calibri"/>
        </w:rPr>
        <w:t>Ranks transition lift above each number’s own baseline, reducing fixation on historically frequent numbers.</w:t>
      </w:r>
    </w:p>
    <w:p>
      <w:pPr>
        <w:pStyle w:val="Heading2"/>
      </w:pPr>
      <w:r>
        <w:t>7.2 Limits</w:t>
      </w:r>
    </w:p>
    <w:p>
      <w:pPr>
        <w:numPr>
          <w:ilvl w:val="0"/>
          <w:numId w:val="10"/>
        </w:numPr>
      </w:pPr>
      <w:r>
        <w:rPr>
          <w:rFonts w:ascii="Calibri" w:hAnsi="Calibri"/>
        </w:rPr>
        <w:t>The number of possible patterns grows exponentially; long contexts are often rare.</w:t>
      </w:r>
    </w:p>
    <w:p>
      <w:pPr>
        <w:numPr>
          <w:ilvl w:val="0"/>
          <w:numId w:val="10"/>
        </w:numPr>
      </w:pPr>
      <w:r>
        <w:rPr>
          <w:rFonts w:ascii="Calibri" w:hAnsi="Calibri"/>
        </w:rPr>
        <w:t>A support threshold of 8 reduces instability but does not make eight examples strong proof.</w:t>
      </w:r>
    </w:p>
    <w:p>
      <w:pPr>
        <w:numPr>
          <w:ilvl w:val="0"/>
          <w:numId w:val="10"/>
        </w:numPr>
      </w:pPr>
      <w:r>
        <w:rPr>
          <w:rFonts w:ascii="Calibri" w:hAnsi="Calibri"/>
        </w:rPr>
        <w:t>Repeated testing of many numbers and patterns can reveal impressive-looking coincidences by chance.</w:t>
      </w:r>
    </w:p>
    <w:p>
      <w:pPr>
        <w:numPr>
          <w:ilvl w:val="0"/>
          <w:numId w:val="10"/>
        </w:numPr>
      </w:pPr>
      <w:r>
        <w:rPr>
          <w:rFonts w:ascii="Calibri" w:hAnsi="Calibri"/>
        </w:rPr>
        <w:t>Min–max scaling can visually magnify small differences in lift.</w:t>
      </w:r>
    </w:p>
    <w:p>
      <w:pPr>
        <w:numPr>
          <w:ilvl w:val="0"/>
          <w:numId w:val="10"/>
        </w:numPr>
      </w:pPr>
      <w:r>
        <w:rPr>
          <w:rFonts w:ascii="Calibri" w:hAnsi="Calibri"/>
        </w:rPr>
        <w:t>A fair lottery has no physical memory; historical transitions may not persist.</w:t>
      </w:r>
    </w:p>
    <w:p>
      <w:pPr>
        <w:numPr>
          <w:ilvl w:val="0"/>
          <w:numId w:val="10"/>
        </w:numPr>
      </w:pPr>
      <w:r>
        <w:rPr>
          <w:rFonts w:ascii="Calibri" w:hAnsi="Calibri"/>
        </w:rPr>
        <w:t>The model does not estimate causal mechanisms and cannot guarantee profitable predictions.</w:t>
      </w:r>
    </w:p>
    <w:p>
      <w:pPr>
        <w:pStyle w:val="Heading2"/>
      </w:pPr>
      <w:r>
        <w:t>7.3 Sensible evaluation</w:t>
      </w:r>
    </w:p>
    <w:p>
      <w:r>
        <w:t>Evaluate MKFR with walk-forward testing: at every historical point, train only on earlier draws, create the next Top 6, and compare with the actual next draw. Report the number of tests, average hits, variability, and a random baseline. Also check whether particular numbers remain selected for unusually long streaks; lift should reduce, not completely eliminate, that risk.</w:t>
      </w:r>
    </w:p>
    <w:p>
      <w:pPr>
        <w:spacing w:before="120" w:after="180"/>
        <w:ind w:left="173" w:right="173"/>
        <w:shd w:fill="FFF7DD" w:val="clear"/>
        <w:pBdr>
          <w:top w:val="single" w:sz="6" w:space="4" w:color="7A5A00"/>
          <w:left w:val="single" w:sz="6" w:space="4" w:color="7A5A00"/>
          <w:bottom w:val="single" w:sz="6" w:space="4" w:color="7A5A00"/>
          <w:right w:val="single" w:sz="6" w:space="4" w:color="7A5A00"/>
        </w:pBdr>
      </w:pPr>
      <w:r>
        <w:rPr>
          <w:rFonts w:ascii="Calibri" w:hAnsi="Calibri"/>
          <w:b/>
          <w:color w:val="7A5A00"/>
        </w:rPr>
        <w:t xml:space="preserve">Random baseline: </w:t>
      </w:r>
      <w:r>
        <w:rPr>
          <w:rFonts w:ascii="Calibri" w:hAnsi="Calibri"/>
          <w:color w:val="20252B"/>
        </w:rPr>
        <w:t>Six random selections against six drawn numbers have expected overlap 6 × 6/49 ≈ 0.735 per draw. A small excess in one dataset can be ordinary sampling noise and should not be described as proof of predictive power.</w:t>
      </w:r>
    </w:p>
    <w:p>
      <w:pPr>
        <w:pStyle w:val="Heading1"/>
        <w:pageBreakBefore w:val="0"/>
      </w:pPr>
      <w:r>
        <w:t>Reference: checklist, glossary, and full example</w:t>
      </w:r>
    </w:p>
    <w:p>
      <w:pPr>
        <w:spacing w:after="200"/>
      </w:pPr>
      <w:r>
        <w:rPr>
          <w:rFonts w:ascii="Calibri" w:hAnsi="Calibri"/>
          <w:i/>
          <w:color w:val="1F4D78"/>
          <w:sz w:val="22"/>
        </w:rPr>
        <w:t>Use this final chapter as a compact explanation sheet.</w:t>
      </w:r>
    </w:p>
    <w:p>
      <w:pPr>
        <w:pStyle w:val="Heading2"/>
      </w:pPr>
      <w:r>
        <w:t>A seven-question interpretation checklist</w:t>
      </w:r>
    </w:p>
    <w:p>
      <w:pPr>
        <w:numPr>
          <w:ilvl w:val="0"/>
          <w:numId w:val="15"/>
        </w:numPr>
      </w:pPr>
      <w:r>
        <w:rPr>
          <w:rFonts w:ascii="Calibri" w:hAnsi="Calibri"/>
        </w:rPr>
        <w:t>Which number is being evaluated, and what is its current D / !D suffix?</w:t>
      </w:r>
    </w:p>
    <w:p>
      <w:pPr>
        <w:numPr>
          <w:ilvl w:val="0"/>
          <w:numId w:val="15"/>
        </w:numPr>
      </w:pPr>
      <w:r>
        <w:rPr>
          <w:rFonts w:ascii="Calibri" w:hAnsi="Calibri"/>
        </w:rPr>
        <w:t>What selected order was actually supported?</w:t>
      </w:r>
    </w:p>
    <w:p>
      <w:pPr>
        <w:numPr>
          <w:ilvl w:val="0"/>
          <w:numId w:val="15"/>
        </w:numPr>
      </w:pPr>
      <w:r>
        <w:rPr>
          <w:rFonts w:ascii="Calibri" w:hAnsi="Calibri"/>
        </w:rPr>
        <w:t>How many examples support that selected exact context?</w:t>
      </w:r>
    </w:p>
    <w:p>
      <w:pPr>
        <w:numPr>
          <w:ilvl w:val="0"/>
          <w:numId w:val="15"/>
        </w:numPr>
      </w:pPr>
      <w:r>
        <w:rPr>
          <w:rFonts w:ascii="Calibri" w:hAnsi="Calibri"/>
        </w:rPr>
        <w:t>What is the smoothed context probability?</w:t>
      </w:r>
    </w:p>
    <w:p>
      <w:pPr>
        <w:numPr>
          <w:ilvl w:val="0"/>
          <w:numId w:val="15"/>
        </w:numPr>
      </w:pPr>
      <w:r>
        <w:rPr>
          <w:rFonts w:ascii="Calibri" w:hAnsi="Calibri"/>
        </w:rPr>
        <w:t>What is the same number’s baseline probability?</w:t>
      </w:r>
    </w:p>
    <w:p>
      <w:pPr>
        <w:numPr>
          <w:ilvl w:val="0"/>
          <w:numId w:val="15"/>
        </w:numPr>
      </w:pPr>
      <w:r>
        <w:rPr>
          <w:rFonts w:ascii="Calibri" w:hAnsi="Calibri"/>
        </w:rPr>
        <w:t>What is the lift in percentage points, and is it positive or negative?</w:t>
      </w:r>
    </w:p>
    <w:p>
      <w:pPr>
        <w:numPr>
          <w:ilvl w:val="0"/>
          <w:numId w:val="15"/>
        </w:numPr>
      </w:pPr>
      <w:r>
        <w:rPr>
          <w:rFonts w:ascii="Calibri" w:hAnsi="Calibri"/>
        </w:rPr>
        <w:t>Is the 0–1 value being read correctly as a relative score rather than a probability?</w:t>
      </w:r>
    </w:p>
    <w:p>
      <w:pPr>
        <w:pStyle w:val="Heading2"/>
      </w:pPr>
      <w:r>
        <w:t>Glossary</w:t>
      </w:r>
    </w:p>
    <w:tbl>
      <w:tblPr>
        <w:tblStyle w:val="TableGrid"/>
        <w:tblW w:type="dxa" w:w="9360"/>
        <w:jc w:val="left"/>
        <w:tblLayout w:type="fixed"/>
        <w:tblLook w:firstColumn="1" w:firstRow="1" w:lastColumn="0" w:lastRow="0" w:noHBand="0" w:noVBand="1" w:val="04A0"/>
        <w:tblInd w:type="dxa" w:w="120"/>
      </w:tblPr>
      <w:tblGrid>
        <w:gridCol w:w="1900"/>
        <w:gridCol w:w="7460"/>
      </w:tblGrid>
      <w:tr>
        <w:trPr>
          <w:tblHeader w:val="true"/>
          <w:cantSplit/>
        </w:trPr>
        <w:tc>
          <w:tcPr>
            <w:tcW w:type="dxa" w:w="19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Word</w:t>
            </w:r>
          </w:p>
        </w:tc>
        <w:tc>
          <w:tcPr>
            <w:tcW w:type="dxa" w:w="746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Meaning in MKFR</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Backoff</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Keeping a shorter supported estimate when a longer context lacks evidence.</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Baseline</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One number’s smoothed normal historical appearance probability.</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Context</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The recent D / !D suffix used as the current state.</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 / !D</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Drawn / not drawn for one particular number.</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Lift</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Context probability minus that same number’s baseline, in percentage points.</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Order</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The count of recent draws in a context.</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Prior strength</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How much weight the previous estimate receives during smoothing; MKFR uses 8.</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Support</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The number of recorded next-outcomes following an exact context.</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Transition</w:t>
            </w:r>
          </w:p>
        </w:tc>
        <w:tc>
          <w:tcPr>
            <w:tcW w:type="dxa" w:w="746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Movement from a context to the next outcome D or !D.</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Variable order</w:t>
            </w:r>
          </w:p>
        </w:tc>
        <w:tc>
          <w:tcPr>
            <w:tcW w:type="dxa" w:w="746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Using longer contexts only when they have enough evidence.</w:t>
            </w:r>
          </w:p>
        </w:tc>
      </w:tr>
    </w:tbl>
    <w:p>
      <w:pPr>
        <w:spacing w:before="0" w:after="40"/>
      </w:pPr>
    </w:p>
    <w:p>
      <w:pPr>
        <w:pStyle w:val="Heading2"/>
      </w:pPr>
      <w:r>
        <w:t>Full compact calculation</w:t>
      </w:r>
    </w:p>
    <w:tbl>
      <w:tblPr>
        <w:tblStyle w:val="TableGrid"/>
        <w:tblW w:type="dxa" w:w="9360"/>
        <w:jc w:val="left"/>
        <w:tblLayout w:type="fixed"/>
        <w:tblLook w:firstColumn="1" w:firstRow="1" w:lastColumn="0" w:lastRow="0" w:noHBand="0" w:noVBand="1" w:val="04A0"/>
        <w:tblInd w:type="dxa" w:w="120"/>
      </w:tblPr>
      <w:tblGrid>
        <w:gridCol w:w="1900"/>
        <w:gridCol w:w="3780"/>
        <w:gridCol w:w="3680"/>
      </w:tblGrid>
      <w:tr>
        <w:trPr>
          <w:tblHeader w:val="true"/>
          <w:cantSplit/>
        </w:trPr>
        <w:tc>
          <w:tcPr>
            <w:tcW w:type="dxa" w:w="190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Stage</w:t>
            </w:r>
          </w:p>
        </w:tc>
        <w:tc>
          <w:tcPr>
            <w:tcW w:type="dxa" w:w="378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Input</w:t>
            </w:r>
          </w:p>
        </w:tc>
        <w:tc>
          <w:tcPr>
            <w:tcW w:type="dxa" w:w="3680"/>
            <w:vAlign w:val="center"/>
            <w:shd w:fill="E8EEF5"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
              <w:rPr>
                <w:rFonts w:ascii="Calibri" w:hAnsi="Calibri"/>
                <w:b/>
                <w:color w:val="0B2545"/>
                <w:sz w:val="18"/>
              </w:rPr>
              <w:t>Output</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Personal baseline</w:t>
            </w:r>
          </w:p>
        </w:tc>
        <w:tc>
          <w:tcPr>
            <w:tcW w:type="dxa" w:w="378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128 D in 1,000 draws; prior strength 8</w:t>
            </w:r>
          </w:p>
        </w:tc>
        <w:tc>
          <w:tcPr>
            <w:tcW w:type="dxa" w:w="368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(128 + 8×6/49) ÷ 1,008 = 12.80%</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Order 1</w:t>
            </w:r>
          </w:p>
        </w:tc>
        <w:tc>
          <w:tcPr>
            <w:tcW w:type="dxa" w:w="378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15 D in 100 matching cases</w:t>
            </w:r>
          </w:p>
        </w:tc>
        <w:tc>
          <w:tcPr>
            <w:tcW w:type="dxa" w:w="368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(15 + 8×12.80%) ÷ 108 = 14.84%</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Order 2</w:t>
            </w:r>
          </w:p>
        </w:tc>
        <w:tc>
          <w:tcPr>
            <w:tcW w:type="dxa" w:w="378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3 D in 16 matching cases</w:t>
            </w:r>
          </w:p>
        </w:tc>
        <w:tc>
          <w:tcPr>
            <w:tcW w:type="dxa" w:w="368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(3 + 8×14.84%) ÷ 24 = 17.45%</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Order 3</w:t>
            </w:r>
          </w:p>
        </w:tc>
        <w:tc>
          <w:tcPr>
            <w:tcW w:type="dxa" w:w="378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 D in 5 matching cases</w:t>
            </w:r>
          </w:p>
        </w:tc>
        <w:tc>
          <w:tcPr>
            <w:tcW w:type="dxa" w:w="368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Skipped because support is below 8</w:t>
            </w:r>
          </w:p>
        </w:tc>
      </w:tr>
      <w:tr>
        <w:trPr>
          <w:cantSplit/>
        </w:trPr>
        <w:tc>
          <w:tcPr>
            <w:tcW w:type="dxa" w:w="190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Lift</w:t>
            </w:r>
          </w:p>
        </w:tc>
        <w:tc>
          <w:tcPr>
            <w:tcW w:type="dxa" w:w="378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17.45% context − 12.80% baseline</w:t>
            </w:r>
          </w:p>
        </w:tc>
        <w:tc>
          <w:tcPr>
            <w:tcW w:type="dxa" w:w="3680"/>
            <w:vAlign w:val="cente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+4.65 percentage points</w:t>
            </w:r>
          </w:p>
        </w:tc>
      </w:tr>
      <w:tr>
        <w:trPr>
          <w:cantSplit/>
        </w:trPr>
        <w:tc>
          <w:tcPr>
            <w:tcW w:type="dxa" w:w="190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Ranking</w:t>
            </w:r>
          </w:p>
        </w:tc>
        <w:tc>
          <w:tcPr>
            <w:tcW w:type="dxa" w:w="378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Compare +4.65 pp with the other 48 lifts</w:t>
            </w:r>
          </w:p>
        </w:tc>
        <w:tc>
          <w:tcPr>
            <w:tcW w:type="dxa" w:w="3680"/>
            <w:vAlign w:val="center"/>
            <w:shd w:fill="FAFBFC" w:val="clear"/>
            <w:tcBorders>
              <w:top w:val="single" w:sz="6" w:space="0" w:color="CAD3DC"/>
              <w:left w:val="single" w:sz="6" w:space="0" w:color="CAD3DC"/>
              <w:bottom w:val="single" w:sz="6" w:space="0" w:color="CAD3DC"/>
              <w:right w:val="single" w:sz="6" w:space="0" w:color="CAD3DC"/>
              <w:insideH w:val="single" w:sz="6" w:space="0" w:color="CAD3DC"/>
              <w:insideV w:val="single" w:sz="6" w:space="0" w:color="CAD3DC"/>
            </w:tcBorders>
            <w:tcMar>
              <w:top w:w="80" w:type="dxa"/>
              <w:bottom w:w="80" w:type="dxa"/>
              <w:start w:w="120" w:type="dxa"/>
              <w:end w:w="120" w:type="dxa"/>
            </w:tcMar>
          </w:tcPr>
          <w:p>
            <w:pPr>
              <w:spacing w:before="0" w:after="0" w:line="259" w:lineRule="auto"/>
            </w:pPr>
            <w:r>
              <w:rPr>
                <w:sz w:val="17"/>
              </w:rPr>
            </w:r>
            <w:r>
              <w:rPr>
                <w:rFonts w:ascii="Calibri" w:hAnsi="Calibri"/>
                <w:b w:val="0"/>
                <w:color w:val="20252B"/>
                <w:sz w:val="17"/>
              </w:rPr>
              <w:t>Normalize to 0–1, then sort</w:t>
            </w:r>
          </w:p>
        </w:tc>
      </w:tr>
    </w:tbl>
    <w:p>
      <w:pPr>
        <w:spacing w:before="0" w:after="40"/>
      </w:pPr>
    </w:p>
    <w:p>
      <w:pPr>
        <w:spacing w:before="120" w:after="180"/>
        <w:ind w:left="173" w:right="173"/>
        <w:shd w:fill="F4F6F9" w:val="clear"/>
        <w:pBdr>
          <w:top w:val="single" w:sz="6" w:space="4" w:color="2E74B5"/>
          <w:left w:val="single" w:sz="6" w:space="4" w:color="2E74B5"/>
          <w:bottom w:val="single" w:sz="6" w:space="4" w:color="2E74B5"/>
          <w:right w:val="single" w:sz="6" w:space="4" w:color="2E74B5"/>
        </w:pBdr>
      </w:pPr>
      <w:r>
        <w:rPr>
          <w:rFonts w:ascii="Calibri" w:hAnsi="Calibri"/>
          <w:b/>
          <w:color w:val="2E74B5"/>
        </w:rPr>
        <w:t xml:space="preserve">Final takeaway: </w:t>
      </w:r>
      <w:r>
        <w:rPr>
          <w:rFonts w:ascii="Calibri" w:hAnsi="Calibri"/>
          <w:color w:val="20252B"/>
        </w:rPr>
        <w:t>MKFR is a per-number variable-order transition model. It learns what tended to follow recent D / !D patterns, protects itself with support and smoothing, and ranks each pattern’s lift above that number’s own baseline. It is a disciplined historical comparison—not a guarantee about a random draw.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5F6B76"/>
        <w:sz w:val="18"/>
      </w:rPr>
      <w:t xml:space="preserve">Page </w:t>
    </w:r>
    <w:r>
      <w:rPr>
        <w:rFonts w:ascii="Calibri" w:hAnsi="Calibri"/>
        <w:color w:val="5F6B7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
      <w:rPr>
        <w:rFonts w:ascii="Calibri" w:hAnsi="Calibri"/>
        <w:b/>
        <w:color w:val="5F6B76"/>
        <w:sz w:val="18"/>
      </w:rPr>
      <w:t>Markov Freshness (MKFR)</w:t>
    </w:r>
    <w:r>
      <w:rPr>
        <w:rFonts w:ascii="Calibri" w:hAnsi="Calibri"/>
        <w:color w:val="5F6B76"/>
        <w:sz w:val="17"/>
      </w:rPr>
      <w:tab/>
      <w:t>RAND AI ·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spacing w:after="80" w:line="300" w:lineRule="auto"/>
      </w:pPr>
      <w:rPr>
        <w:rFonts w:ascii="Calibri" w:hAnsi="Calibri"/>
      </w:rPr>
    </w:lvl>
  </w:abstractNum>
  <w:num w:numId="10">
    <w:abstractNumId w:val="9"/>
  </w:num>
  <w:abstractNum w:abstractNumId="10">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1">
    <w:abstractNumId w:val="10"/>
  </w:num>
  <w:abstractNum w:abstractNumId="11">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2">
    <w:abstractNumId w:val="11"/>
  </w:num>
  <w:abstractNum w:abstractNumId="12">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3">
    <w:abstractNumId w:val="12"/>
  </w:num>
  <w:abstractNum w:abstractNumId="13">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4">
    <w:abstractNumId w:val="13"/>
  </w:num>
  <w:abstractNum w:abstractNumId="14">
    <w:multiLevelType w:val="singleLevel"/>
    <w:lvl w:ilvl="0">
      <w:start w:val="1"/>
      <w:numFmt w:val="decimal"/>
      <w:lvlText w:val="%1."/>
      <w:suff w:val="tab"/>
      <w:pPr>
        <w:tabs>
          <w:tab w:val="num" w:pos="540"/>
        </w:tabs>
        <w:ind w:left="540" w:hanging="271"/>
        <w:spacing w:after="80" w:line="300" w:lineRule="auto"/>
      </w:pPr>
      <w:rPr>
        <w:rFonts w:ascii="Calibri" w:hAnsi="Calibri"/>
      </w:r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300" w:lineRule="auto"/>
    </w:pPr>
    <w:rPr>
      <w:rFonts w:ascii="Calibri" w:hAnsi="Calibri"/>
      <w:color w:val="2025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Markov Freshness (MKFR)</dc:title>
  <dc:subject>How Rand AI learns D / !D transition patterns separately for every number</dc:subject>
  <dc:creator>Rand AI documentation</dc:creator>
  <cp:keywords>Rand AI, lottery analysis, prediction strategy, educational guide</cp:keywords>
  <dc:description>generated by python-docx</dc:description>
  <cp:lastModifiedBy/>
  <cp:revision>1</cp:revision>
  <dcterms:created xsi:type="dcterms:W3CDTF">2013-12-23T23:15:00Z</dcterms:created>
  <dcterms:modified xsi:type="dcterms:W3CDTF">2013-12-23T23:15:00Z</dcterms:modified>
  <cp:category/>
</cp:coreProperties>
</file>