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Нефтекод</w:t>
      </w:r>
    </w:p>
    <w:p>
      <w:pPr>
        <w:pStyle w:val="Heading1"/>
      </w:pPr>
      <w:r>
        <w:t>Система поддержки технологических решений</w:t>
      </w:r>
    </w:p>
    <w:p>
      <w:r>
        <w:t>Описание финального прототипа для жюри. Версия поставки v1.1.0, обновление 22 сентября 2026 года. Добавлены синтетический редактор what-if и график исторического прогноза.</w:t>
      </w:r>
    </w:p>
    <w:p>
      <w:r>
        <w:t>Нефтекод объединяет просмотр состояния АВТ и гидроочистки, исторический прогноз серы и подбор модельной рецептуры дизельного топлива. Оператор видит исходные данные, возраст анализов, проверенные ограничения, выбранный вариант и причины отказа. Каждый расчёт оставляет воспроизводимый журнал.</w:t>
      </w:r>
    </w:p>
    <w:p>
      <w:r>
        <w:t>Прототип работает локально. Windows-поставка содержит приложение Neftekod.exe, Python и библиотеки, закреплённые модели и подготовленные данные. Обучение перед показом не требуется. Реальные уставки и команды оборудованию отключены. Рекомендации по смешению относятся к явно заданной модели компонентов, а исторический прогноз показывает состояние и предупреждения.</w:t>
      </w:r>
    </w:p>
    <w:p>
      <w:pPr>
        <w:pStyle w:val="Heading1"/>
      </w:pPr>
      <w:r>
        <w:t>Задача и реализованные режимы</w:t>
      </w:r>
    </w:p>
    <w:p>
      <w:r>
        <w:t>Техническое задание рассматривает цепочку АВТ, гидроочистки и смешения как связанную систему. Жёсткие ограничения должны иметь приоритет над экономикой, а при недостаточных данных система должна отказываться от рискованного действия. Наш прототип разделяет фактические измерения и модельные допущения.</w:t>
      </w:r>
    </w:p>
    <w:tbl>
      <w:tblPr>
        <w:tblW w:type="auto" w:w="0"/>
        <w:jc w:val="center"/>
        <w:tblLayout w:type="fixed"/>
        <w:tblLook w:firstColumn="1" w:firstRow="1" w:lastColumn="0" w:lastRow="0" w:noHBand="0" w:noVBand="1" w:val="04A0"/>
      </w:tblPr>
      <w:tblGrid>
        <w:gridCol w:w="2324"/>
        <w:gridCol w:w="3798"/>
        <w:gridCol w:w="3628"/>
      </w:tblGrid>
      <w:tr>
        <w:trPr>
          <w:cantSplit/>
          <w:tblHeader/>
        </w:trPr>
        <w:tc>
          <w:tcPr>
            <w:tcW w:type="dxa" w:w="2324"/>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Режим</w:t>
            </w:r>
          </w:p>
        </w:tc>
        <w:tc>
          <w:tcPr>
            <w:tcW w:type="dxa" w:w="379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Вход и результат</w:t>
            </w:r>
          </w:p>
        </w:tc>
        <w:tc>
          <w:tcPr>
            <w:tcW w:type="dxa" w:w="362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Граница применимости</w:t>
            </w:r>
          </w:p>
        </w:tc>
      </w:tr>
      <w:tr>
        <w:trPr>
          <w:cantSplit/>
        </w:trPr>
        <w:tc>
          <w:tcPr>
            <w:tcW w:type="dxa" w:w="2324"/>
            <w:vAlign w:val="center"/>
            <w:shd w:fill="F0F3F4"/>
            <w:tcBorders>
              <w:top w:val="single" w:sz="4" w:color="D9D9D9"/>
              <w:left w:val="single" w:sz="4" w:color="D9D9D9"/>
              <w:bottom w:val="single" w:sz="4" w:color="D9D9D9"/>
              <w:right w:val="single" w:sz="4" w:color="D9D9D9"/>
            </w:tcBorders>
          </w:tcPr>
          <w:p>
            <w:pPr>
              <w:spacing w:before="80" w:after="80"/>
            </w:pPr>
            <w:r>
              <w:rPr>
                <w:sz w:val="20"/>
              </w:rPr>
              <w:t>История</w:t>
            </w:r>
          </w:p>
        </w:tc>
        <w:tc>
          <w:tcPr>
            <w:tcW w:type="dxa" w:w="3798"/>
            <w:vAlign w:val="center"/>
            <w:shd w:fill="F0F3F4"/>
            <w:tcBorders>
              <w:top w:val="single" w:sz="4" w:color="D9D9D9"/>
              <w:left w:val="single" w:sz="4" w:color="D9D9D9"/>
              <w:bottom w:val="single" w:sz="4" w:color="D9D9D9"/>
              <w:right w:val="single" w:sz="4" w:color="D9D9D9"/>
            </w:tcBorders>
          </w:tcPr>
          <w:p>
            <w:pPr>
              <w:spacing w:before="80" w:after="80"/>
            </w:pPr>
            <w:r>
              <w:rPr>
                <w:sz w:val="20"/>
              </w:rPr>
              <w:t>Телеметрия, доступные анализы, прогноз серы через 60 минут и предупреждение</w:t>
            </w:r>
          </w:p>
        </w:tc>
        <w:tc>
          <w:tcPr>
            <w:tcW w:type="dxa" w:w="3628"/>
            <w:vAlign w:val="center"/>
            <w:shd w:fill="F0F3F4"/>
            <w:tcBorders>
              <w:top w:val="single" w:sz="4" w:color="D9D9D9"/>
              <w:left w:val="single" w:sz="4" w:color="D9D9D9"/>
              <w:bottom w:val="single" w:sz="4" w:color="D9D9D9"/>
              <w:right w:val="single" w:sz="4" w:color="D9D9D9"/>
            </w:tcBorders>
          </w:tcPr>
          <w:p>
            <w:pPr>
              <w:spacing w:before="80" w:after="80"/>
            </w:pPr>
            <w:r>
              <w:rPr>
                <w:sz w:val="20"/>
              </w:rPr>
              <w:t>Без рекомендации реальных воздействий</w:t>
            </w:r>
          </w:p>
        </w:tc>
      </w:tr>
      <w:tr>
        <w:trPr>
          <w:cantSplit/>
        </w:trPr>
        <w:tc>
          <w:tcPr>
            <w:tcW w:type="dxa" w:w="2324"/>
            <w:vAlign w:val="center"/>
            <w:shd w:fill="FFFFFF"/>
            <w:tcBorders>
              <w:top w:val="single" w:sz="4" w:color="D9D9D9"/>
              <w:left w:val="single" w:sz="4" w:color="D9D9D9"/>
              <w:bottom w:val="single" w:sz="4" w:color="D9D9D9"/>
              <w:right w:val="single" w:sz="4" w:color="D9D9D9"/>
            </w:tcBorders>
          </w:tcPr>
          <w:p>
            <w:pPr>
              <w:spacing w:before="80" w:after="80"/>
            </w:pPr>
            <w:r>
              <w:rPr>
                <w:sz w:val="20"/>
              </w:rPr>
              <w:t>Модельное смешение</w:t>
            </w:r>
          </w:p>
        </w:tc>
        <w:tc>
          <w:tcPr>
            <w:tcW w:type="dxa" w:w="3798"/>
            <w:vAlign w:val="center"/>
            <w:shd w:fill="FFFFFF"/>
            <w:tcBorders>
              <w:top w:val="single" w:sz="4" w:color="D9D9D9"/>
              <w:left w:val="single" w:sz="4" w:color="D9D9D9"/>
              <w:bottom w:val="single" w:sz="4" w:color="D9D9D9"/>
              <w:right w:val="single" w:sz="4" w:color="D9D9D9"/>
            </w:tcBorders>
          </w:tcPr>
          <w:p>
            <w:pPr>
              <w:spacing w:before="80" w:after="80"/>
            </w:pPr>
            <w:r>
              <w:rPr>
                <w:sz w:val="20"/>
              </w:rPr>
              <w:t>Паспорта двух компонентов, дозировка присадки, перебор рецептур и полный модельный контроль S, T95, CN</w:t>
            </w:r>
          </w:p>
        </w:tc>
        <w:tc>
          <w:tcPr>
            <w:tcW w:type="dxa" w:w="3628"/>
            <w:vAlign w:val="center"/>
            <w:shd w:fill="FFFFFF"/>
            <w:tcBorders>
              <w:top w:val="single" w:sz="4" w:color="D9D9D9"/>
              <w:left w:val="single" w:sz="4" w:color="D9D9D9"/>
              <w:bottom w:val="single" w:sz="4" w:color="D9D9D9"/>
              <w:right w:val="single" w:sz="4" w:color="D9D9D9"/>
            </w:tcBorders>
          </w:tcPr>
          <w:p>
            <w:pPr>
              <w:spacing w:before="80" w:after="80"/>
            </w:pPr>
            <w:r>
              <w:rPr>
                <w:sz w:val="20"/>
              </w:rPr>
              <w:t>Синтетические свойства и стоимостные индексы</w:t>
            </w:r>
          </w:p>
        </w:tc>
      </w:tr>
      <w:tr>
        <w:trPr>
          <w:cantSplit/>
        </w:trPr>
        <w:tc>
          <w:tcPr>
            <w:tcW w:type="dxa" w:w="2324"/>
            <w:vAlign w:val="center"/>
            <w:shd w:fill="F0F3F4"/>
            <w:tcBorders>
              <w:top w:val="single" w:sz="4" w:color="D9D9D9"/>
              <w:left w:val="single" w:sz="4" w:color="D9D9D9"/>
              <w:bottom w:val="single" w:sz="4" w:color="D9D9D9"/>
              <w:right w:val="single" w:sz="4" w:color="D9D9D9"/>
            </w:tcBorders>
          </w:tcPr>
          <w:p>
            <w:pPr>
              <w:spacing w:before="80" w:after="80"/>
            </w:pPr>
            <w:r>
              <w:rPr>
                <w:sz w:val="20"/>
              </w:rPr>
              <w:t>Hybrid</w:t>
            </w:r>
          </w:p>
        </w:tc>
        <w:tc>
          <w:tcPr>
            <w:tcW w:type="dxa" w:w="3798"/>
            <w:vAlign w:val="center"/>
            <w:shd w:fill="F0F3F4"/>
            <w:tcBorders>
              <w:top w:val="single" w:sz="4" w:color="D9D9D9"/>
              <w:left w:val="single" w:sz="4" w:color="D9D9D9"/>
              <w:bottom w:val="single" w:sz="4" w:color="D9D9D9"/>
              <w:right w:val="single" w:sz="4" w:color="D9D9D9"/>
            </w:tcBorders>
          </w:tcPr>
          <w:p>
            <w:pPr>
              <w:spacing w:before="80" w:after="80"/>
            </w:pPr>
            <w:r>
              <w:rPr>
                <w:sz w:val="20"/>
              </w:rPr>
              <w:t>Исторический прогноз серы компонента A и условная рецептура смеси</w:t>
            </w:r>
          </w:p>
        </w:tc>
        <w:tc>
          <w:tcPr>
            <w:tcW w:type="dxa" w:w="3628"/>
            <w:vAlign w:val="center"/>
            <w:shd w:fill="F0F3F4"/>
            <w:tcBorders>
              <w:top w:val="single" w:sz="4" w:color="D9D9D9"/>
              <w:left w:val="single" w:sz="4" w:color="D9D9D9"/>
              <w:bottom w:val="single" w:sz="4" w:color="D9D9D9"/>
              <w:right w:val="single" w:sz="4" w:color="D9D9D9"/>
            </w:tcBorders>
          </w:tcPr>
          <w:p>
            <w:pPr>
              <w:spacing w:before="80" w:after="80"/>
            </w:pPr>
            <w:r>
              <w:rPr>
                <w:sz w:val="20"/>
              </w:rPr>
              <w:t>Проверяет только серу, не полный товарный паспорт</w:t>
            </w:r>
          </w:p>
        </w:tc>
      </w:tr>
      <w:tr>
        <w:trPr>
          <w:cantSplit/>
        </w:trPr>
        <w:tc>
          <w:tcPr>
            <w:tcW w:type="dxa" w:w="2324"/>
            <w:vAlign w:val="center"/>
            <w:shd w:fill="FFFFFF"/>
            <w:tcBorders>
              <w:top w:val="single" w:sz="4" w:color="D9D9D9"/>
              <w:left w:val="single" w:sz="4" w:color="D9D9D9"/>
              <w:bottom w:val="single" w:sz="4" w:color="D9D9D9"/>
              <w:right w:val="single" w:sz="4" w:color="D9D9D9"/>
            </w:tcBorders>
          </w:tcPr>
          <w:p>
            <w:pPr>
              <w:spacing w:before="80" w:after="80"/>
            </w:pPr>
            <w:r>
              <w:rPr>
                <w:sz w:val="20"/>
              </w:rPr>
              <w:t>Исследование v2</w:t>
            </w:r>
          </w:p>
        </w:tc>
        <w:tc>
          <w:tcPr>
            <w:tcW w:type="dxa" w:w="3798"/>
            <w:vAlign w:val="center"/>
            <w:shd w:fill="FFFFFF"/>
            <w:tcBorders>
              <w:top w:val="single" w:sz="4" w:color="D9D9D9"/>
              <w:left w:val="single" w:sz="4" w:color="D9D9D9"/>
              <w:bottom w:val="single" w:sz="4" w:color="D9D9D9"/>
              <w:right w:val="single" w:sz="4" w:color="D9D9D9"/>
            </w:tcBorders>
          </w:tcPr>
          <w:p>
            <w:pPr>
              <w:spacing w:before="80" w:after="80"/>
            </w:pPr>
            <w:r>
              <w:rPr>
                <w:sz w:val="20"/>
              </w:rPr>
              <w:t>Вероятности эпизода превышения на 10, 20, 30 и 60 минутах</w:t>
            </w:r>
          </w:p>
        </w:tc>
        <w:tc>
          <w:tcPr>
            <w:tcW w:type="dxa" w:w="3628"/>
            <w:vAlign w:val="center"/>
            <w:shd w:fill="FFFFFF"/>
            <w:tcBorders>
              <w:top w:val="single" w:sz="4" w:color="D9D9D9"/>
              <w:left w:val="single" w:sz="4" w:color="D9D9D9"/>
              <w:bottom w:val="single" w:sz="4" w:color="D9D9D9"/>
              <w:right w:val="single" w:sz="4" w:color="D9D9D9"/>
            </w:tcBorders>
          </w:tcPr>
          <w:p>
            <w:pPr>
              <w:spacing w:before="80" w:after="80"/>
            </w:pPr>
            <w:r>
              <w:rPr>
                <w:sz w:val="20"/>
              </w:rPr>
              <w:t>Shadow-прогноз, не управление</w:t>
            </w:r>
          </w:p>
        </w:tc>
      </w:tr>
    </w:tbl>
    <w:p>
      <w:pPr>
        <w:spacing w:after="20"/>
      </w:pPr>
    </w:p>
    <w:p>
      <w:r>
        <w:t>Экраны АВТ и гидроочистки показывают фактические сигналы, их единицы, источник и свежесть. Общий выбор dataset и момента времени сохраняется между историческими формами. Модельный сценарий имеет собственные синтетические входы и не маскируется под историю установки.</w:t>
      </w:r>
    </w:p>
    <w:p>
      <w:pPr>
        <w:pStyle w:val="Heading1"/>
        <w:pageBreakBefore/>
        <w:spacing w:before="0"/>
      </w:pPr>
      <w:r>
        <w:t>Данные и время</w:t>
      </w:r>
    </w:p>
    <w:p>
      <w:r>
        <w:t xml:space="preserve">В поставке используется dataset </w:t>
      </w:r>
      <w:r>
        <w:rPr>
          <w:rFonts w:ascii="Consolas" w:hAnsi="Consolas"/>
          <w:sz w:val="19"/>
        </w:rPr>
        <w:t>66bdfcbb23b4</w:t>
      </w:r>
      <w:r>
        <w:t>: 189 217 строк телеметрии и 301 901 наблюдение качества. Исходные CSV, Excel, схемы и словарь входят в материалы организаторов. Подготовка сохраняет происхождение наблюдений, единицы, правила преобразований и отчёт проблем. Обнаруженные выбросы не превращаются в обычные достоверные измерения.</w:t>
      </w:r>
    </w:p>
    <w:p>
      <w:r>
        <w:t xml:space="preserve">Синхронизация выполняется по времени. </w:t>
      </w:r>
      <w:r>
        <w:rPr>
          <w:rFonts w:ascii="Consolas" w:hAnsi="Consolas"/>
          <w:sz w:val="19"/>
        </w:rPr>
        <w:t>measured_at</w:t>
      </w:r>
      <w:r>
        <w:t xml:space="preserve"> означает момент измерения или отбора пробы, </w:t>
      </w:r>
      <w:r>
        <w:rPr>
          <w:rFonts w:ascii="Consolas" w:hAnsi="Consolas"/>
          <w:sz w:val="19"/>
        </w:rPr>
        <w:t>available_at</w:t>
      </w:r>
      <w:r>
        <w:t xml:space="preserve"> означает момент доступности результата. Для ЛИМС используется согласованная четырёхчасовая задержка. В состоянии на момент t допустимы только записи, у которых оба времени не позже t. Будущий анализ не становится известным задним числом.</w:t>
      </w:r>
    </w:p>
    <w:p>
      <w:r>
        <w:t>При выборе текущего качества свежие доступные наблюдения имеют преимущество над устаревшими. Внутри допустимого набора источники ранжируются как ЛИМС, ПАК, ВАК, телеметрия. Если свежих данных нет, возраст старого значения и причина ограничения остаются видимыми. Снимок содержит последние показания по источникам, а полная история хранится в dataset.</w:t>
      </w:r>
    </w:p>
    <w:p>
      <w:r>
        <w:t>Актуальная семантика тегов опирается на письменные уточнения от 15 сентября: P8 обозначает перепад давления Р-202, F19 обозначает расход бензина в К-201, T11 обозначает температуру продукта на выходе Р-202. Названия не интерпретируются по первой букве. P8 и F19 остаются кандидатами для исследовательского анализа; подтверждённых оснований для промышленного управления в поставке нет.</w:t>
      </w:r>
    </w:p>
    <w:p>
      <w:pPr>
        <w:pStyle w:val="Heading1"/>
        <w:pageBreakBefore/>
        <w:spacing w:before="0"/>
      </w:pPr>
      <w:r>
        <w:t>Архитектура и цикл решения</w:t>
      </w:r>
    </w:p>
    <w:p>
      <w:r>
        <w:t>Система реализована одним локальным Python-приложением. Роли агентов разделены функциями и проверяемыми входами и выходами. Сетевые сервисы, LLM и внешние API не нужны для обязательного расчётного пути.</w:t>
      </w:r>
    </w:p>
    <w:tbl>
      <w:tblPr>
        <w:tblW w:type="auto" w:w="0"/>
        <w:jc w:val="center"/>
        <w:tblLayout w:type="fixed"/>
        <w:tblLook w:firstColumn="1" w:firstRow="1" w:lastColumn="0" w:lastRow="0" w:noHBand="0" w:noVBand="1" w:val="04A0"/>
      </w:tblPr>
      <w:tblGrid>
        <w:gridCol w:w="2324"/>
        <w:gridCol w:w="3798"/>
        <w:gridCol w:w="3628"/>
      </w:tblGrid>
      <w:tr>
        <w:trPr>
          <w:cantSplit/>
          <w:tblHeader/>
        </w:trPr>
        <w:tc>
          <w:tcPr>
            <w:tcW w:type="dxa" w:w="2324"/>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Компонент</w:t>
            </w:r>
          </w:p>
        </w:tc>
        <w:tc>
          <w:tcPr>
            <w:tcW w:type="dxa" w:w="379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Ответственность</w:t>
            </w:r>
          </w:p>
        </w:tc>
        <w:tc>
          <w:tcPr>
            <w:tcW w:type="dxa" w:w="362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Проверяемый результат</w:t>
            </w:r>
          </w:p>
        </w:tc>
      </w:tr>
      <w:tr>
        <w:trPr>
          <w:cantSplit/>
        </w:trPr>
        <w:tc>
          <w:tcPr>
            <w:tcW w:type="dxa" w:w="2324"/>
            <w:vAlign w:val="center"/>
            <w:shd w:fill="F0F3F4"/>
            <w:tcBorders>
              <w:top w:val="single" w:sz="4" w:color="D9D9D9"/>
              <w:left w:val="single" w:sz="4" w:color="D9D9D9"/>
              <w:bottom w:val="single" w:sz="4" w:color="D9D9D9"/>
              <w:right w:val="single" w:sz="4" w:color="D9D9D9"/>
            </w:tcBorders>
          </w:tcPr>
          <w:p>
            <w:pPr>
              <w:spacing w:before="80" w:after="80"/>
            </w:pPr>
            <w:r>
              <w:rPr>
                <w:sz w:val="20"/>
              </w:rPr>
              <w:t>Данные и признаки</w:t>
            </w:r>
          </w:p>
        </w:tc>
        <w:tc>
          <w:tcPr>
            <w:tcW w:type="dxa" w:w="3798"/>
            <w:vAlign w:val="center"/>
            <w:shd w:fill="F0F3F4"/>
            <w:tcBorders>
              <w:top w:val="single" w:sz="4" w:color="D9D9D9"/>
              <w:left w:val="single" w:sz="4" w:color="D9D9D9"/>
              <w:bottom w:val="single" w:sz="4" w:color="D9D9D9"/>
              <w:right w:val="single" w:sz="4" w:color="D9D9D9"/>
            </w:tcBorders>
          </w:tcPr>
          <w:p>
            <w:pPr>
              <w:spacing w:before="80" w:after="80"/>
            </w:pPr>
            <w:r>
              <w:rPr>
                <w:sz w:val="20"/>
              </w:rPr>
              <w:t>Доступное состояние, лаги и окна истории</w:t>
            </w:r>
          </w:p>
        </w:tc>
        <w:tc>
          <w:tcPr>
            <w:tcW w:type="dxa" w:w="3628"/>
            <w:vAlign w:val="center"/>
            <w:shd w:fill="F0F3F4"/>
            <w:tcBorders>
              <w:top w:val="single" w:sz="4" w:color="D9D9D9"/>
              <w:left w:val="single" w:sz="4" w:color="D9D9D9"/>
              <w:bottom w:val="single" w:sz="4" w:color="D9D9D9"/>
              <w:right w:val="single" w:sz="4" w:color="D9D9D9"/>
            </w:tcBorders>
          </w:tcPr>
          <w:p>
            <w:pPr>
              <w:spacing w:before="80" w:after="80"/>
            </w:pPr>
            <w:r>
              <w:rPr>
                <w:sz w:val="20"/>
              </w:rPr>
              <w:t>ProcessState и упорядоченные признаки</w:t>
            </w:r>
          </w:p>
        </w:tc>
      </w:tr>
      <w:tr>
        <w:trPr>
          <w:cantSplit/>
        </w:trPr>
        <w:tc>
          <w:tcPr>
            <w:tcW w:type="dxa" w:w="2324"/>
            <w:vAlign w:val="center"/>
            <w:shd w:fill="FFFFFF"/>
            <w:tcBorders>
              <w:top w:val="single" w:sz="4" w:color="D9D9D9"/>
              <w:left w:val="single" w:sz="4" w:color="D9D9D9"/>
              <w:bottom w:val="single" w:sz="4" w:color="D9D9D9"/>
              <w:right w:val="single" w:sz="4" w:color="D9D9D9"/>
            </w:tcBorders>
          </w:tcPr>
          <w:p>
            <w:pPr>
              <w:spacing w:before="80" w:after="80"/>
            </w:pPr>
            <w:r>
              <w:rPr>
                <w:sz w:val="20"/>
              </w:rPr>
              <w:t>Агент качества</w:t>
            </w:r>
          </w:p>
        </w:tc>
        <w:tc>
          <w:tcPr>
            <w:tcW w:type="dxa" w:w="3798"/>
            <w:vAlign w:val="center"/>
            <w:shd w:fill="FFFFFF"/>
            <w:tcBorders>
              <w:top w:val="single" w:sz="4" w:color="D9D9D9"/>
              <w:left w:val="single" w:sz="4" w:color="D9D9D9"/>
              <w:bottom w:val="single" w:sz="4" w:color="D9D9D9"/>
              <w:right w:val="single" w:sz="4" w:color="D9D9D9"/>
            </w:tcBorders>
          </w:tcPr>
          <w:p>
            <w:pPr>
              <w:spacing w:before="80" w:after="80"/>
            </w:pPr>
            <w:r>
              <w:rPr>
                <w:sz w:val="20"/>
              </w:rPr>
              <w:t>Прогноз и свойства модельной смеси</w:t>
            </w:r>
          </w:p>
        </w:tc>
        <w:tc>
          <w:tcPr>
            <w:tcW w:type="dxa" w:w="3628"/>
            <w:vAlign w:val="center"/>
            <w:shd w:fill="FFFFFF"/>
            <w:tcBorders>
              <w:top w:val="single" w:sz="4" w:color="D9D9D9"/>
              <w:left w:val="single" w:sz="4" w:color="D9D9D9"/>
              <w:bottom w:val="single" w:sz="4" w:color="D9D9D9"/>
              <w:right w:val="single" w:sz="4" w:color="D9D9D9"/>
            </w:tcBorders>
          </w:tcPr>
          <w:p>
            <w:pPr>
              <w:spacing w:before="80" w:after="80"/>
            </w:pPr>
            <w:r>
              <w:rPr>
                <w:sz w:val="20"/>
              </w:rPr>
              <w:t>Оценки свойств и ограничения применимости</w:t>
            </w:r>
          </w:p>
        </w:tc>
      </w:tr>
      <w:tr>
        <w:trPr>
          <w:cantSplit/>
        </w:trPr>
        <w:tc>
          <w:tcPr>
            <w:tcW w:type="dxa" w:w="2324"/>
            <w:vAlign w:val="center"/>
            <w:shd w:fill="F0F3F4"/>
            <w:tcBorders>
              <w:top w:val="single" w:sz="4" w:color="D9D9D9"/>
              <w:left w:val="single" w:sz="4" w:color="D9D9D9"/>
              <w:bottom w:val="single" w:sz="4" w:color="D9D9D9"/>
              <w:right w:val="single" w:sz="4" w:color="D9D9D9"/>
            </w:tcBorders>
          </w:tcPr>
          <w:p>
            <w:pPr>
              <w:spacing w:before="80" w:after="80"/>
            </w:pPr>
            <w:r>
              <w:rPr>
                <w:sz w:val="20"/>
              </w:rPr>
              <w:t>Агент надёжности</w:t>
            </w:r>
          </w:p>
        </w:tc>
        <w:tc>
          <w:tcPr>
            <w:tcW w:type="dxa" w:w="3798"/>
            <w:vAlign w:val="center"/>
            <w:shd w:fill="F0F3F4"/>
            <w:tcBorders>
              <w:top w:val="single" w:sz="4" w:color="D9D9D9"/>
              <w:left w:val="single" w:sz="4" w:color="D9D9D9"/>
              <w:bottom w:val="single" w:sz="4" w:color="D9D9D9"/>
              <w:right w:val="single" w:sz="4" w:color="D9D9D9"/>
            </w:tcBorders>
          </w:tcPr>
          <w:p>
            <w:pPr>
              <w:spacing w:before="80" w:after="80"/>
            </w:pPr>
            <w:r>
              <w:rPr>
                <w:sz w:val="20"/>
              </w:rPr>
              <w:t>Доступность оценки тяжести режима или модельный риск</w:t>
            </w:r>
          </w:p>
        </w:tc>
        <w:tc>
          <w:tcPr>
            <w:tcW w:type="dxa" w:w="3628"/>
            <w:vAlign w:val="center"/>
            <w:shd w:fill="F0F3F4"/>
            <w:tcBorders>
              <w:top w:val="single" w:sz="4" w:color="D9D9D9"/>
              <w:left w:val="single" w:sz="4" w:color="D9D9D9"/>
              <w:bottom w:val="single" w:sz="4" w:color="D9D9D9"/>
              <w:right w:val="single" w:sz="4" w:color="D9D9D9"/>
            </w:tcBorders>
          </w:tcPr>
          <w:p>
            <w:pPr>
              <w:spacing w:before="80" w:after="80"/>
            </w:pPr>
            <w:r>
              <w:rPr>
                <w:sz w:val="20"/>
              </w:rPr>
              <w:t>Оценка с явным происхождением либо отказ</w:t>
            </w:r>
          </w:p>
        </w:tc>
      </w:tr>
      <w:tr>
        <w:trPr>
          <w:cantSplit/>
        </w:trPr>
        <w:tc>
          <w:tcPr>
            <w:tcW w:type="dxa" w:w="2324"/>
            <w:vAlign w:val="center"/>
            <w:shd w:fill="FFFFFF"/>
            <w:tcBorders>
              <w:top w:val="single" w:sz="4" w:color="D9D9D9"/>
              <w:left w:val="single" w:sz="4" w:color="D9D9D9"/>
              <w:bottom w:val="single" w:sz="4" w:color="D9D9D9"/>
              <w:right w:val="single" w:sz="4" w:color="D9D9D9"/>
            </w:tcBorders>
          </w:tcPr>
          <w:p>
            <w:pPr>
              <w:spacing w:before="80" w:after="80"/>
            </w:pPr>
            <w:r>
              <w:rPr>
                <w:sz w:val="20"/>
              </w:rPr>
              <w:t>Оптимизатор</w:t>
            </w:r>
          </w:p>
        </w:tc>
        <w:tc>
          <w:tcPr>
            <w:tcW w:type="dxa" w:w="3798"/>
            <w:vAlign w:val="center"/>
            <w:shd w:fill="FFFFFF"/>
            <w:tcBorders>
              <w:top w:val="single" w:sz="4" w:color="D9D9D9"/>
              <w:left w:val="single" w:sz="4" w:color="D9D9D9"/>
              <w:bottom w:val="single" w:sz="4" w:color="D9D9D9"/>
              <w:right w:val="single" w:sz="4" w:color="D9D9D9"/>
            </w:tcBorders>
          </w:tcPr>
          <w:p>
            <w:pPr>
              <w:spacing w:before="80" w:after="80"/>
            </w:pPr>
            <w:r>
              <w:rPr>
                <w:sz w:val="20"/>
              </w:rPr>
              <w:t>Формирование рецептур и дозировок</w:t>
            </w:r>
          </w:p>
        </w:tc>
        <w:tc>
          <w:tcPr>
            <w:tcW w:type="dxa" w:w="3628"/>
            <w:vAlign w:val="center"/>
            <w:shd w:fill="FFFFFF"/>
            <w:tcBorders>
              <w:top w:val="single" w:sz="4" w:color="D9D9D9"/>
              <w:left w:val="single" w:sz="4" w:color="D9D9D9"/>
              <w:bottom w:val="single" w:sz="4" w:color="D9D9D9"/>
              <w:right w:val="single" w:sz="4" w:color="D9D9D9"/>
            </w:tcBorders>
          </w:tcPr>
          <w:p>
            <w:pPr>
              <w:spacing w:before="80" w:after="80"/>
            </w:pPr>
            <w:r>
              <w:rPr>
                <w:sz w:val="20"/>
              </w:rPr>
              <w:t>Кандидаты, оценки и результаты фильтра</w:t>
            </w:r>
          </w:p>
        </w:tc>
      </w:tr>
      <w:tr>
        <w:trPr>
          <w:cantSplit/>
        </w:trPr>
        <w:tc>
          <w:tcPr>
            <w:tcW w:type="dxa" w:w="2324"/>
            <w:vAlign w:val="center"/>
            <w:shd w:fill="F0F3F4"/>
            <w:tcBorders>
              <w:top w:val="single" w:sz="4" w:color="D9D9D9"/>
              <w:left w:val="single" w:sz="4" w:color="D9D9D9"/>
              <w:bottom w:val="single" w:sz="4" w:color="D9D9D9"/>
              <w:right w:val="single" w:sz="4" w:color="D9D9D9"/>
            </w:tcBorders>
          </w:tcPr>
          <w:p>
            <w:pPr>
              <w:spacing w:before="80" w:after="80"/>
            </w:pPr>
            <w:r>
              <w:rPr>
                <w:sz w:val="20"/>
              </w:rPr>
              <w:t>Оркестратор</w:t>
            </w:r>
          </w:p>
        </w:tc>
        <w:tc>
          <w:tcPr>
            <w:tcW w:type="dxa" w:w="3798"/>
            <w:vAlign w:val="center"/>
            <w:shd w:fill="F0F3F4"/>
            <w:tcBorders>
              <w:top w:val="single" w:sz="4" w:color="D9D9D9"/>
              <w:left w:val="single" w:sz="4" w:color="D9D9D9"/>
              <w:bottom w:val="single" w:sz="4" w:color="D9D9D9"/>
              <w:right w:val="single" w:sz="4" w:color="D9D9D9"/>
            </w:tcBorders>
          </w:tcPr>
          <w:p>
            <w:pPr>
              <w:spacing w:before="80" w:after="80"/>
            </w:pPr>
            <w:r>
              <w:rPr>
                <w:sz w:val="20"/>
              </w:rPr>
              <w:t>Проверка ограничений, существенности и политики</w:t>
            </w:r>
          </w:p>
        </w:tc>
        <w:tc>
          <w:tcPr>
            <w:tcW w:type="dxa" w:w="3628"/>
            <w:vAlign w:val="center"/>
            <w:shd w:fill="F0F3F4"/>
            <w:tcBorders>
              <w:top w:val="single" w:sz="4" w:color="D9D9D9"/>
              <w:left w:val="single" w:sz="4" w:color="D9D9D9"/>
              <w:bottom w:val="single" w:sz="4" w:color="D9D9D9"/>
              <w:right w:val="single" w:sz="4" w:color="D9D9D9"/>
            </w:tcBorders>
          </w:tcPr>
          <w:p>
            <w:pPr>
              <w:spacing w:before="80" w:after="80"/>
            </w:pPr>
            <w:r>
              <w:rPr>
                <w:sz w:val="20"/>
              </w:rPr>
              <w:t>hold, recommend либо abstain</w:t>
            </w:r>
          </w:p>
        </w:tc>
      </w:tr>
      <w:tr>
        <w:trPr>
          <w:cantSplit/>
        </w:trPr>
        <w:tc>
          <w:tcPr>
            <w:tcW w:type="dxa" w:w="2324"/>
            <w:vAlign w:val="center"/>
            <w:shd w:fill="FFFFFF"/>
            <w:tcBorders>
              <w:top w:val="single" w:sz="4" w:color="D9D9D9"/>
              <w:left w:val="single" w:sz="4" w:color="D9D9D9"/>
              <w:bottom w:val="single" w:sz="4" w:color="D9D9D9"/>
              <w:right w:val="single" w:sz="4" w:color="D9D9D9"/>
            </w:tcBorders>
          </w:tcPr>
          <w:p>
            <w:pPr>
              <w:spacing w:before="80" w:after="80"/>
            </w:pPr>
            <w:r>
              <w:rPr>
                <w:sz w:val="20"/>
              </w:rPr>
              <w:t>Интерфейс и журнал</w:t>
            </w:r>
          </w:p>
        </w:tc>
        <w:tc>
          <w:tcPr>
            <w:tcW w:type="dxa" w:w="3798"/>
            <w:vAlign w:val="center"/>
            <w:shd w:fill="FFFFFF"/>
            <w:tcBorders>
              <w:top w:val="single" w:sz="4" w:color="D9D9D9"/>
              <w:left w:val="single" w:sz="4" w:color="D9D9D9"/>
              <w:bottom w:val="single" w:sz="4" w:color="D9D9D9"/>
              <w:right w:val="single" w:sz="4" w:color="D9D9D9"/>
            </w:tcBorders>
          </w:tcPr>
          <w:p>
            <w:pPr>
              <w:spacing w:before="80" w:after="80"/>
            </w:pPr>
            <w:r>
              <w:rPr>
                <w:sz w:val="20"/>
              </w:rPr>
              <w:t>Объяснение результата и его сохранение</w:t>
            </w:r>
          </w:p>
        </w:tc>
        <w:tc>
          <w:tcPr>
            <w:tcW w:type="dxa" w:w="3628"/>
            <w:vAlign w:val="center"/>
            <w:shd w:fill="FFFFFF"/>
            <w:tcBorders>
              <w:top w:val="single" w:sz="4" w:color="D9D9D9"/>
              <w:left w:val="single" w:sz="4" w:color="D9D9D9"/>
              <w:bottom w:val="single" w:sz="4" w:color="D9D9D9"/>
              <w:right w:val="single" w:sz="4" w:color="D9D9D9"/>
            </w:tcBorders>
          </w:tcPr>
          <w:p>
            <w:pPr>
              <w:spacing w:before="80" w:after="80"/>
            </w:pPr>
            <w:r>
              <w:rPr>
                <w:sz w:val="20"/>
              </w:rPr>
              <w:t>Экран, JSON и полный след расчёта</w:t>
            </w:r>
          </w:p>
        </w:tc>
      </w:tr>
    </w:tbl>
    <w:p>
      <w:pPr>
        <w:spacing w:after="20"/>
      </w:pPr>
    </w:p>
    <w:p>
      <w:r>
        <w:t>Сначала строится состояние и проверяется доступность данных. Затем агенты оценивают исходный режим и кандидатов. Общий фильтр исключает недопустимые варианты. Только после этого оставшиеся варианты сравниваются по риску, выпуску, стоимостному прокси и величине изменения. Экономическая выгода не компенсирует нарушение качества.</w:t>
      </w:r>
    </w:p>
    <w:p>
      <w:r>
        <w:t xml:space="preserve">Типы и инварианты закреплены Pydantic-контрактами. Неизвестное численное значение передаётся как None/null, а не как ноль. Артефакт модели содержит metadata, порядок признаков и сведения о подготовке; загрузчик проверяет совместимость. </w:t>
      </w:r>
      <w:r>
        <w:rPr>
          <w:rFonts w:ascii="Consolas" w:hAnsi="Consolas"/>
          <w:sz w:val="19"/>
        </w:rPr>
        <w:t>supports_actions=false</w:t>
      </w:r>
      <w:r>
        <w:t xml:space="preserve"> не меняется от хорошей прогнозной метрики.</w:t>
      </w:r>
    </w:p>
    <w:p>
      <w:pPr>
        <w:pStyle w:val="Heading1"/>
        <w:pageBreakBefore/>
        <w:spacing w:before="0"/>
      </w:pPr>
      <w:r>
        <w:t>Прогноз серы и независимая оценка</w:t>
      </w:r>
    </w:p>
    <w:p>
      <w:r>
        <w:t xml:space="preserve">Основной артефакт </w:t>
      </w:r>
      <w:r>
        <w:rPr>
          <w:rFonts w:ascii="Consolas" w:hAnsi="Consolas"/>
          <w:sz w:val="19"/>
        </w:rPr>
        <w:t>sulfur-upper-33efba3c3141</w:t>
      </w:r>
      <w:r>
        <w:t xml:space="preserve"> прогнозирует серу ПАК на горизонте 60 минут и предоставляет верхнюю оценку. Признаки включают прошлые измерения, лаги 0, 10, 30, 60 и 180 минут, разности и статистики окон 60 и 180 минут. Признаки обучения и применения строятся одним кодом.</w:t>
      </w:r>
    </w:p>
    <w:p>
      <w:r>
        <w:t>Временная схема разделяет обучение до 2025 года, выбор модели в 2025 году и отложенный тест 2026 года. После финального переобучения validation может пересекаться с обучением сохранённой модели. Такие отчёты явно помечены как диагностические, а не независимые. Для финального комплекта заново выполнен test на полном доступном отложенном периоде.</w:t>
      </w:r>
    </w:p>
    <w:tbl>
      <w:tblPr>
        <w:tblW w:type="auto" w:w="0"/>
        <w:jc w:val="center"/>
        <w:tblLayout w:type="fixed"/>
        <w:tblLook w:firstColumn="1" w:firstRow="1" w:lastColumn="0" w:lastRow="0" w:noHBand="0" w:noVBand="1" w:val="04A0"/>
      </w:tblPr>
      <w:tblGrid>
        <w:gridCol w:w="3118"/>
        <w:gridCol w:w="6633"/>
      </w:tblGrid>
      <w:tr>
        <w:trPr>
          <w:cantSplit/>
          <w:tblHeader/>
        </w:trPr>
        <w:tc>
          <w:tcPr>
            <w:tcW w:type="dxa" w:w="311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Показатель на ПАК test 2026</w:t>
            </w:r>
          </w:p>
        </w:tc>
        <w:tc>
          <w:tcPr>
            <w:tcW w:type="dxa" w:w="6633"/>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Результат</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Общие точки модели и baseline</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31 819</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MAE модели</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0,6842 мг/кг</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MAE последнего известного значения</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0,6842 мг/кг</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MAE вблизи порога 8–12 мг/кг</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0,7899 мг/кг на 13 693 точках</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Пропущенные превышения точечного прогноза</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1 345 из 4 706, или 28,58%</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Ложные тревоги точечного прогноза</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1 345 из 27 113, или 4,96%</w:t>
            </w:r>
          </w:p>
        </w:tc>
      </w:tr>
    </w:tbl>
    <w:p>
      <w:pPr>
        <w:spacing w:after="20"/>
      </w:pPr>
    </w:p>
    <w:p>
      <w:r>
        <w:t>Закреплённый точечный предиктор не превосходит persistence baseline на этой проверке. Покрытие 100% относится к 31 819 сопоставимым валидным целям, а не ко всем минутам производственного периода. Пороговые ошибки в таблице относятся к точечному прогнозу и не являются оценкой политики верхней границы или v2. Верхняя оценка помогает видеть неопределённость, но не служит промышленной гарантией.</w:t>
      </w:r>
    </w:p>
    <w:p>
      <w:r>
        <w:t xml:space="preserve">Исследовательская модель </w:t>
      </w:r>
      <w:r>
        <w:rPr>
          <w:rFonts w:ascii="Consolas" w:hAnsi="Consolas"/>
          <w:sz w:val="19"/>
        </w:rPr>
        <w:t>sulfur-v2-shadow-61f972d07181</w:t>
      </w:r>
      <w:r>
        <w:t xml:space="preserve"> показывает риск начала эпизода превышения. Отдельный контроль ПАК–ЛИМС сохраняет лабораторный источник как отложенную проверку. Эти возможности не подменяют основной тест точечного прогноза и не разрешают действия.</w:t>
      </w:r>
    </w:p>
    <w:p>
      <w:pPr>
        <w:pStyle w:val="Heading1"/>
        <w:pageBreakBefore/>
        <w:spacing w:before="0"/>
      </w:pPr>
      <w:r>
        <w:t>Модельные сценарии и конфликт критериев</w:t>
      </w:r>
    </w:p>
    <w:p>
      <w:r>
        <w:t>В демонстрации смешиваются два компонента и цетановая присадка. Массовые доли вместе с присадкой составляют 100%. Предел серы равен 10 мг/кг. Для выбранных модельных сценариев верхняя оценка T95 не превышает 360 °C, а нижняя оценка цетанового числа не ниже 51. Кривая эффективности присадки синтетическая; максимальная доля 3% и высокий стоимостной коэффициент заданы явно.</w:t>
      </w:r>
    </w:p>
    <w:tbl>
      <w:tblPr>
        <w:tblW w:type="auto" w:w="0"/>
        <w:jc w:val="center"/>
        <w:tblLayout w:type="fixed"/>
        <w:tblLook w:firstColumn="1" w:firstRow="1" w:lastColumn="0" w:lastRow="0" w:noHBand="0" w:noVBand="1" w:val="04A0"/>
      </w:tblPr>
      <w:tblGrid>
        <w:gridCol w:w="2324"/>
        <w:gridCol w:w="3798"/>
        <w:gridCol w:w="3628"/>
      </w:tblGrid>
      <w:tr>
        <w:trPr>
          <w:cantSplit/>
          <w:tblHeader/>
        </w:trPr>
        <w:tc>
          <w:tcPr>
            <w:tcW w:type="dxa" w:w="2324"/>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Сценарий</w:t>
            </w:r>
          </w:p>
        </w:tc>
        <w:tc>
          <w:tcPr>
            <w:tcW w:type="dxa" w:w="379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Итог</w:t>
            </w:r>
          </w:p>
        </w:tc>
        <w:tc>
          <w:tcPr>
            <w:tcW w:type="dxa" w:w="362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Проверяемое поведение</w:t>
            </w:r>
          </w:p>
        </w:tc>
      </w:tr>
      <w:tr>
        <w:trPr>
          <w:cantSplit/>
        </w:trPr>
        <w:tc>
          <w:tcPr>
            <w:tcW w:type="dxa" w:w="2324"/>
            <w:vAlign w:val="center"/>
            <w:shd w:fill="F0F3F4"/>
            <w:tcBorders>
              <w:top w:val="single" w:sz="4" w:color="D9D9D9"/>
              <w:left w:val="single" w:sz="4" w:color="D9D9D9"/>
              <w:bottom w:val="single" w:sz="4" w:color="D9D9D9"/>
              <w:right w:val="single" w:sz="4" w:color="D9D9D9"/>
            </w:tcBorders>
          </w:tcPr>
          <w:p>
            <w:pPr>
              <w:spacing w:before="80" w:after="80"/>
            </w:pPr>
            <w:r>
              <w:rPr>
                <w:sz w:val="20"/>
              </w:rPr>
              <w:t>Нормальный режим</w:t>
            </w:r>
          </w:p>
        </w:tc>
        <w:tc>
          <w:tcPr>
            <w:tcW w:type="dxa" w:w="3798"/>
            <w:vAlign w:val="center"/>
            <w:shd w:fill="F0F3F4"/>
            <w:tcBorders>
              <w:top w:val="single" w:sz="4" w:color="D9D9D9"/>
              <w:left w:val="single" w:sz="4" w:color="D9D9D9"/>
              <w:bottom w:val="single" w:sz="4" w:color="D9D9D9"/>
              <w:right w:val="single" w:sz="4" w:color="D9D9D9"/>
            </w:tcBorders>
          </w:tcPr>
          <w:p>
            <w:pPr>
              <w:spacing w:before="80" w:after="80"/>
            </w:pPr>
            <w:r>
              <w:rPr>
                <w:sz w:val="20"/>
              </w:rPr>
              <w:t>hold</w:t>
            </w:r>
          </w:p>
        </w:tc>
        <w:tc>
          <w:tcPr>
            <w:tcW w:type="dxa" w:w="3628"/>
            <w:vAlign w:val="center"/>
            <w:shd w:fill="F0F3F4"/>
            <w:tcBorders>
              <w:top w:val="single" w:sz="4" w:color="D9D9D9"/>
              <w:left w:val="single" w:sz="4" w:color="D9D9D9"/>
              <w:bottom w:val="single" w:sz="4" w:color="D9D9D9"/>
              <w:right w:val="single" w:sz="4" w:color="D9D9D9"/>
            </w:tcBorders>
          </w:tcPr>
          <w:p>
            <w:pPr>
              <w:spacing w:before="80" w:after="80"/>
            </w:pPr>
            <w:r>
              <w:rPr>
                <w:sz w:val="20"/>
              </w:rPr>
              <w:t>Допустимую рецептуру менять не требуется</w:t>
            </w:r>
          </w:p>
        </w:tc>
      </w:tr>
      <w:tr>
        <w:trPr>
          <w:cantSplit/>
        </w:trPr>
        <w:tc>
          <w:tcPr>
            <w:tcW w:type="dxa" w:w="2324"/>
            <w:vAlign w:val="center"/>
            <w:shd w:fill="FFFFFF"/>
            <w:tcBorders>
              <w:top w:val="single" w:sz="4" w:color="D9D9D9"/>
              <w:left w:val="single" w:sz="4" w:color="D9D9D9"/>
              <w:bottom w:val="single" w:sz="4" w:color="D9D9D9"/>
              <w:right w:val="single" w:sz="4" w:color="D9D9D9"/>
            </w:tcBorders>
          </w:tcPr>
          <w:p>
            <w:pPr>
              <w:spacing w:before="80" w:after="80"/>
            </w:pPr>
            <w:r>
              <w:rPr>
                <w:sz w:val="20"/>
              </w:rPr>
              <w:t>Повышенная сера</w:t>
            </w:r>
          </w:p>
        </w:tc>
        <w:tc>
          <w:tcPr>
            <w:tcW w:type="dxa" w:w="3798"/>
            <w:vAlign w:val="center"/>
            <w:shd w:fill="FFFFFF"/>
            <w:tcBorders>
              <w:top w:val="single" w:sz="4" w:color="D9D9D9"/>
              <w:left w:val="single" w:sz="4" w:color="D9D9D9"/>
              <w:bottom w:val="single" w:sz="4" w:color="D9D9D9"/>
              <w:right w:val="single" w:sz="4" w:color="D9D9D9"/>
            </w:tcBorders>
          </w:tcPr>
          <w:p>
            <w:pPr>
              <w:spacing w:before="80" w:after="80"/>
            </w:pPr>
            <w:r>
              <w:rPr>
                <w:sz w:val="20"/>
              </w:rPr>
              <w:t>recommend</w:t>
            </w:r>
          </w:p>
        </w:tc>
        <w:tc>
          <w:tcPr>
            <w:tcW w:type="dxa" w:w="3628"/>
            <w:vAlign w:val="center"/>
            <w:shd w:fill="FFFFFF"/>
            <w:tcBorders>
              <w:top w:val="single" w:sz="4" w:color="D9D9D9"/>
              <w:left w:val="single" w:sz="4" w:color="D9D9D9"/>
              <w:bottom w:val="single" w:sz="4" w:color="D9D9D9"/>
              <w:right w:val="single" w:sz="4" w:color="D9D9D9"/>
            </w:tcBorders>
          </w:tcPr>
          <w:p>
            <w:pPr>
              <w:spacing w:before="80" w:after="80"/>
            </w:pPr>
            <w:r>
              <w:rPr>
                <w:sz w:val="20"/>
              </w:rPr>
              <w:t>Верхняя сера снижается с 14,058 до 9,306 мг/кг</w:t>
            </w:r>
          </w:p>
        </w:tc>
      </w:tr>
      <w:tr>
        <w:trPr>
          <w:cantSplit/>
        </w:trPr>
        <w:tc>
          <w:tcPr>
            <w:tcW w:type="dxa" w:w="2324"/>
            <w:vAlign w:val="center"/>
            <w:shd w:fill="F0F3F4"/>
            <w:tcBorders>
              <w:top w:val="single" w:sz="4" w:color="D9D9D9"/>
              <w:left w:val="single" w:sz="4" w:color="D9D9D9"/>
              <w:bottom w:val="single" w:sz="4" w:color="D9D9D9"/>
              <w:right w:val="single" w:sz="4" w:color="D9D9D9"/>
            </w:tcBorders>
          </w:tcPr>
          <w:p>
            <w:pPr>
              <w:spacing w:before="80" w:after="80"/>
            </w:pPr>
            <w:r>
              <w:rPr>
                <w:sz w:val="20"/>
              </w:rPr>
              <w:t>Риск T95</w:t>
            </w:r>
          </w:p>
        </w:tc>
        <w:tc>
          <w:tcPr>
            <w:tcW w:type="dxa" w:w="3798"/>
            <w:vAlign w:val="center"/>
            <w:shd w:fill="F0F3F4"/>
            <w:tcBorders>
              <w:top w:val="single" w:sz="4" w:color="D9D9D9"/>
              <w:left w:val="single" w:sz="4" w:color="D9D9D9"/>
              <w:bottom w:val="single" w:sz="4" w:color="D9D9D9"/>
              <w:right w:val="single" w:sz="4" w:color="D9D9D9"/>
            </w:tcBorders>
          </w:tcPr>
          <w:p>
            <w:pPr>
              <w:spacing w:before="80" w:after="80"/>
            </w:pPr>
            <w:r>
              <w:rPr>
                <w:sz w:val="20"/>
              </w:rPr>
              <w:t>recommend</w:t>
            </w:r>
          </w:p>
        </w:tc>
        <w:tc>
          <w:tcPr>
            <w:tcW w:type="dxa" w:w="3628"/>
            <w:vAlign w:val="center"/>
            <w:shd w:fill="F0F3F4"/>
            <w:tcBorders>
              <w:top w:val="single" w:sz="4" w:color="D9D9D9"/>
              <w:left w:val="single" w:sz="4" w:color="D9D9D9"/>
              <w:bottom w:val="single" w:sz="4" w:color="D9D9D9"/>
              <w:right w:val="single" w:sz="4" w:color="D9D9D9"/>
            </w:tcBorders>
          </w:tcPr>
          <w:p>
            <w:pPr>
              <w:spacing w:before="80" w:after="80"/>
            </w:pPr>
            <w:r>
              <w:rPr>
                <w:sz w:val="20"/>
              </w:rPr>
              <w:t>Верхний T95 снижается с 367 до 359,5 °C</w:t>
            </w:r>
          </w:p>
        </w:tc>
      </w:tr>
      <w:tr>
        <w:trPr>
          <w:cantSplit/>
        </w:trPr>
        <w:tc>
          <w:tcPr>
            <w:tcW w:type="dxa" w:w="2324"/>
            <w:vAlign w:val="center"/>
            <w:shd w:fill="FFFFFF"/>
            <w:tcBorders>
              <w:top w:val="single" w:sz="4" w:color="D9D9D9"/>
              <w:left w:val="single" w:sz="4" w:color="D9D9D9"/>
              <w:bottom w:val="single" w:sz="4" w:color="D9D9D9"/>
              <w:right w:val="single" w:sz="4" w:color="D9D9D9"/>
            </w:tcBorders>
          </w:tcPr>
          <w:p>
            <w:pPr>
              <w:spacing w:before="80" w:after="80"/>
            </w:pPr>
            <w:r>
              <w:rPr>
                <w:sz w:val="20"/>
              </w:rPr>
              <w:t>Низкое цетановое число</w:t>
            </w:r>
          </w:p>
        </w:tc>
        <w:tc>
          <w:tcPr>
            <w:tcW w:type="dxa" w:w="3798"/>
            <w:vAlign w:val="center"/>
            <w:shd w:fill="FFFFFF"/>
            <w:tcBorders>
              <w:top w:val="single" w:sz="4" w:color="D9D9D9"/>
              <w:left w:val="single" w:sz="4" w:color="D9D9D9"/>
              <w:bottom w:val="single" w:sz="4" w:color="D9D9D9"/>
              <w:right w:val="single" w:sz="4" w:color="D9D9D9"/>
            </w:tcBorders>
          </w:tcPr>
          <w:p>
            <w:pPr>
              <w:spacing w:before="80" w:after="80"/>
            </w:pPr>
            <w:r>
              <w:rPr>
                <w:sz w:val="20"/>
              </w:rPr>
              <w:t>recommend</w:t>
            </w:r>
          </w:p>
        </w:tc>
        <w:tc>
          <w:tcPr>
            <w:tcW w:type="dxa" w:w="3628"/>
            <w:vAlign w:val="center"/>
            <w:shd w:fill="FFFFFF"/>
            <w:tcBorders>
              <w:top w:val="single" w:sz="4" w:color="D9D9D9"/>
              <w:left w:val="single" w:sz="4" w:color="D9D9D9"/>
              <w:bottom w:val="single" w:sz="4" w:color="D9D9D9"/>
              <w:right w:val="single" w:sz="4" w:color="D9D9D9"/>
            </w:tcBorders>
          </w:tcPr>
          <w:p>
            <w:pPr>
              <w:spacing w:before="80" w:after="80"/>
            </w:pPr>
            <w:r>
              <w:rPr>
                <w:sz w:val="20"/>
              </w:rPr>
              <w:t>Нижняя оценка возрастает с 50,6 до 51,1</w:t>
            </w:r>
          </w:p>
        </w:tc>
      </w:tr>
      <w:tr>
        <w:trPr>
          <w:cantSplit/>
        </w:trPr>
        <w:tc>
          <w:tcPr>
            <w:tcW w:type="dxa" w:w="2324"/>
            <w:vAlign w:val="center"/>
            <w:shd w:fill="F0F3F4"/>
            <w:tcBorders>
              <w:top w:val="single" w:sz="4" w:color="D9D9D9"/>
              <w:left w:val="single" w:sz="4" w:color="D9D9D9"/>
              <w:bottom w:val="single" w:sz="4" w:color="D9D9D9"/>
              <w:right w:val="single" w:sz="4" w:color="D9D9D9"/>
            </w:tcBorders>
          </w:tcPr>
          <w:p>
            <w:pPr>
              <w:spacing w:before="80" w:after="80"/>
            </w:pPr>
            <w:r>
              <w:rPr>
                <w:sz w:val="20"/>
              </w:rPr>
              <w:t>Недостающие данные</w:t>
            </w:r>
          </w:p>
        </w:tc>
        <w:tc>
          <w:tcPr>
            <w:tcW w:type="dxa" w:w="3798"/>
            <w:vAlign w:val="center"/>
            <w:shd w:fill="F0F3F4"/>
            <w:tcBorders>
              <w:top w:val="single" w:sz="4" w:color="D9D9D9"/>
              <w:left w:val="single" w:sz="4" w:color="D9D9D9"/>
              <w:bottom w:val="single" w:sz="4" w:color="D9D9D9"/>
              <w:right w:val="single" w:sz="4" w:color="D9D9D9"/>
            </w:tcBorders>
          </w:tcPr>
          <w:p>
            <w:pPr>
              <w:spacing w:before="80" w:after="80"/>
            </w:pPr>
            <w:r>
              <w:rPr>
                <w:sz w:val="20"/>
              </w:rPr>
              <w:t>abstain</w:t>
            </w:r>
          </w:p>
        </w:tc>
        <w:tc>
          <w:tcPr>
            <w:tcW w:type="dxa" w:w="3628"/>
            <w:vAlign w:val="center"/>
            <w:shd w:fill="F0F3F4"/>
            <w:tcBorders>
              <w:top w:val="single" w:sz="4" w:color="D9D9D9"/>
              <w:left w:val="single" w:sz="4" w:color="D9D9D9"/>
              <w:bottom w:val="single" w:sz="4" w:color="D9D9D9"/>
              <w:right w:val="single" w:sz="4" w:color="D9D9D9"/>
            </w:tcBorders>
          </w:tcPr>
          <w:p>
            <w:pPr>
              <w:spacing w:before="80" w:after="80"/>
            </w:pPr>
            <w:r>
              <w:rPr>
                <w:sz w:val="20"/>
              </w:rPr>
              <w:t>Неизвестная сера не становится нулём</w:t>
            </w:r>
          </w:p>
        </w:tc>
      </w:tr>
      <w:tr>
        <w:trPr>
          <w:cantSplit/>
        </w:trPr>
        <w:tc>
          <w:tcPr>
            <w:tcW w:type="dxa" w:w="2324"/>
            <w:vAlign w:val="center"/>
            <w:shd w:fill="FFFFFF"/>
            <w:tcBorders>
              <w:top w:val="single" w:sz="4" w:color="D9D9D9"/>
              <w:left w:val="single" w:sz="4" w:color="D9D9D9"/>
              <w:bottom w:val="single" w:sz="4" w:color="D9D9D9"/>
              <w:right w:val="single" w:sz="4" w:color="D9D9D9"/>
            </w:tcBorders>
          </w:tcPr>
          <w:p>
            <w:pPr>
              <w:spacing w:before="80" w:after="80"/>
            </w:pPr>
            <w:r>
              <w:rPr>
                <w:sz w:val="20"/>
              </w:rPr>
              <w:t>Риск и стоимость</w:t>
            </w:r>
          </w:p>
        </w:tc>
        <w:tc>
          <w:tcPr>
            <w:tcW w:type="dxa" w:w="3798"/>
            <w:vAlign w:val="center"/>
            <w:shd w:fill="FFFFFF"/>
            <w:tcBorders>
              <w:top w:val="single" w:sz="4" w:color="D9D9D9"/>
              <w:left w:val="single" w:sz="4" w:color="D9D9D9"/>
              <w:bottom w:val="single" w:sz="4" w:color="D9D9D9"/>
              <w:right w:val="single" w:sz="4" w:color="D9D9D9"/>
            </w:tcBorders>
          </w:tcPr>
          <w:p>
            <w:pPr>
              <w:spacing w:before="80" w:after="80"/>
            </w:pPr>
            <w:r>
              <w:rPr>
                <w:sz w:val="20"/>
              </w:rPr>
              <w:t>recommend</w:t>
            </w:r>
          </w:p>
        </w:tc>
        <w:tc>
          <w:tcPr>
            <w:tcW w:type="dxa" w:w="3628"/>
            <w:vAlign w:val="center"/>
            <w:shd w:fill="FFFFFF"/>
            <w:tcBorders>
              <w:top w:val="single" w:sz="4" w:color="D9D9D9"/>
              <w:left w:val="single" w:sz="4" w:color="D9D9D9"/>
              <w:bottom w:val="single" w:sz="4" w:color="D9D9D9"/>
              <w:right w:val="single" w:sz="4" w:color="D9D9D9"/>
            </w:tcBorders>
          </w:tcPr>
          <w:p>
            <w:pPr>
              <w:spacing w:before="80" w:after="80"/>
            </w:pPr>
            <w:r>
              <w:rPr>
                <w:sz w:val="20"/>
              </w:rPr>
              <w:t>Меньший модельный риск выбирается несмотря на рост стоимости</w:t>
            </w:r>
          </w:p>
        </w:tc>
      </w:tr>
    </w:tbl>
    <w:p>
      <w:pPr>
        <w:spacing w:after="20"/>
      </w:pPr>
    </w:p>
    <w:p>
      <w:r>
        <w:t>В серном сценарии выбранные доли равны A 89,1%, B 9,9%, присадка 1%. Для партии 100 т это 89,1 т, 9,9 т и 1 т. Выбранные оценки: сера сверху 9,306 мг/кг, T95 сверху 354 °C, цетановое число снизу 52,6.</w:t>
      </w:r>
    </w:p>
    <w:p>
      <w:r>
        <w:t>В дополнительном сценарии конфликта допустимы и исходный, и выбранный варианты. Риск снижается с 0,80 до 0,73, а стоимостной прокси возрастает с 1,99 до 2,0395. Оркестратор выбирает существенное снижение риска согласно объявленному порядку критериев. Выпуск фиксирован на 100 т, поэтому этот пример не доказывает оптимизацию реальной производительности. Индексы риска и стоимости не являются измеренной надёжностью или экономией предприятия.</w:t>
      </w:r>
    </w:p>
    <w:p>
      <w:pPr>
        <w:pStyle w:val="Heading1"/>
        <w:pageBreakBefore/>
        <w:spacing w:before="0"/>
      </w:pPr>
      <w:r>
        <w:t>Демонстрация продукта</w:t>
      </w:r>
    </w:p>
    <w:p>
      <w:r>
        <w:t xml:space="preserve">Архив нужно полностью распаковать в доступную для записи папку и открыть Neftekod.exe. Папка </w:t>
      </w:r>
      <w:r>
        <w:rPr>
          <w:rFonts w:ascii="Consolas" w:hAnsi="Consolas"/>
          <w:sz w:val="19"/>
        </w:rPr>
        <w:t>_internal</w:t>
      </w:r>
      <w:r>
        <w:t xml:space="preserve"> должна оставаться рядом с приложением. Исходники, конфигурации, модели и данные также нельзя отделять от поставки. Интернет, установка Python и обучение для запуска готового Windows-комплекта не нужны.</w:t>
      </w:r>
    </w:p>
    <w:p>
      <w:r>
        <w:t>На обзоре выбираются модельные сценарии. Экран смешения показывает точную рецептуру, ограничения и объяснение. В «Истории» доступны одиночная точка и интервал с прогрессом и отменой. При отмене сохраняется явно обозначенный частичный результат только из завершённых точек. Экспорт соответствует текущему результату. Журнал показывает время, сценарий, статус и подробный след.</w:t>
      </w:r>
    </w:p>
    <w:p>
      <w:r>
        <w:t>Полное руководство включено далее в этот документ: «Запуск и общий контекст», «Обзор и сценарии», «Смесь и Hybrid», «Синтетический редактор what-if», «История и экспорт», «Дополнительные инструменты», «Журнал статусы и ожидаемые отказы». Оно описывает поля и кнопки, порядок расчёта, три вида экспорта и границы исследовательских режимов. Таблица результата не редактируется; отдельный редактор позволяет менять синтетические свойства компонентов, запасы, текущие доли и модель присадки, пересчитывать смесь и возвращать исходные поля.</w:t>
      </w:r>
    </w:p>
    <w:p>
      <w:r>
        <w:t>Исторический прогноз показан графиком точки, верхней оценки и предела 10 мг/кг. Горизонтальная ось соответствует целевому времени прогноза, на 60 минут позже момента входных данных. Пропуски видны как разрывы. Технические пути убраны в свёрнутые дополнительные настройки; полный JSON и экспорт сохранены. Реальные действия остаются отключёнными.</w:t>
      </w:r>
    </w:p>
    <w:p>
      <w:r>
        <w:t>Рекомендуемый исторический пример начинается 01.06.2025 в 12:00 +03:00. На первой точке основной прогноз равен 10,15656 мг/кг, верхняя оценка 10,38809 мг/кг. На точке 13:00 значения равны 9,00645 и 10,27399 мг/кг. В обоих случаях управляющее действие отсутствует. Числа можно воспроизвести через CLI или UI на закреплённой паре данных и модели.</w:t>
      </w:r>
    </w:p>
    <w:p>
      <w:r>
        <w:t>После оптимизации две точки заняли около 17 секунд вместо прежних 62, а интервал 12:00–18:00 из семи точек занял около 48 секунд на машине проверки. Это измерения, не обещание скорости на любом ПК. Оболочка остаётся доступной во время фонового расчёта. Полная история не записывается заново в каждый журнал.</w:t>
      </w:r>
    </w:p>
    <w:p>
      <w:pPr>
        <w:pStyle w:val="Heading1"/>
        <w:pageBreakBefore/>
        <w:spacing w:before="0"/>
      </w:pPr>
      <w:r>
        <w:t>Проверка и границы результата</w:t>
      </w:r>
    </w:p>
    <w:p>
      <w:r>
        <w:t>Проверки охватывают контракты, отсутствие утечки будущих анализов, прогнозы, фильтр ограничений, точность рецептуры, отмену интервала и экспорт. Регрессионные тесты сравнивают ускоренный поиск публикаций с независимым прямым выбором наблюдений. Проверка hidden Tk подтверждает переходы и экспорт без вмешательства в окно пользователя. Численные исходы пяти основных acceptance-эпизодов и дополнительного tradeoff-сценария сохранены в evidence.</w:t>
      </w:r>
    </w:p>
    <w:p>
      <w:r>
        <w:t>Полное промышленное управление, калиброванная модель надёжности оборудования, подтверждённая межустановочная динамика и реальная экономическая эффективность не заявляются. Hybrid контролирует только серу. Исследовательские P8/F19 сценарии требуют отдельных совместимых артефактов и не входят в штатный live-контур поставки. Эти границы являются свойствами демонстрируемого прототипа, а не скрытыми функциями.</w:t>
      </w:r>
    </w:p>
    <w:p>
      <w:pPr>
        <w:pStyle w:val="Heading1"/>
      </w:pPr>
      <w:r>
        <w:t>Навигация по доказательствам</w:t>
      </w:r>
    </w:p>
    <w:p>
      <w:r>
        <w:t xml:space="preserve">В основной ветке репозитория исходное задание и материалы находятся в </w:t>
      </w:r>
      <w:r>
        <w:rPr>
          <w:rFonts w:ascii="Consolas" w:hAnsi="Consolas"/>
          <w:sz w:val="19"/>
        </w:rPr>
        <w:t>materials/</w:t>
      </w:r>
      <w:r>
        <w:t xml:space="preserve">, инженерные уточнения — в </w:t>
      </w:r>
      <w:r>
        <w:rPr>
          <w:rFonts w:ascii="Consolas" w:hAnsi="Consolas"/>
          <w:sz w:val="19"/>
        </w:rPr>
        <w:t>docs/technical/QA_CLARIFICATIONS.md</w:t>
      </w:r>
      <w:r>
        <w:t xml:space="preserve">, архитектура и контракты — в </w:t>
      </w:r>
      <w:r>
        <w:rPr>
          <w:rFonts w:ascii="Consolas" w:hAnsi="Consolas"/>
          <w:sz w:val="19"/>
        </w:rPr>
        <w:t>DESIGN.md</w:t>
      </w:r>
      <w:r>
        <w:t xml:space="preserve">. Запуск описан в </w:t>
      </w:r>
      <w:r>
        <w:rPr>
          <w:rFonts w:ascii="Consolas" w:hAnsi="Consolas"/>
          <w:sz w:val="19"/>
        </w:rPr>
        <w:t>README.md</w:t>
      </w:r>
      <w:r>
        <w:t xml:space="preserve">; краткий сценарий защиты и полное руководство по UI — в </w:t>
      </w:r>
      <w:r>
        <w:rPr>
          <w:rFonts w:ascii="Consolas" w:hAnsi="Consolas"/>
          <w:sz w:val="19"/>
        </w:rPr>
        <w:t>docs/DEMO_SCRIPT.md</w:t>
      </w:r>
      <w:r>
        <w:t xml:space="preserve">. Код расположен в </w:t>
      </w:r>
      <w:r>
        <w:rPr>
          <w:rFonts w:ascii="Consolas" w:hAnsi="Consolas"/>
          <w:sz w:val="19"/>
        </w:rPr>
        <w:t>source/</w:t>
      </w:r>
      <w:r>
        <w:t xml:space="preserve">, тесты — в </w:t>
      </w:r>
      <w:r>
        <w:rPr>
          <w:rFonts w:ascii="Consolas" w:hAnsi="Consolas"/>
          <w:sz w:val="19"/>
        </w:rPr>
        <w:t>global_tests/</w:t>
      </w:r>
      <w:r>
        <w:t>. Презентация и Word-документ поставляются через GitHub Releases и внутри полного Windows-архива, а не дублируются в основной ветке.</w:t>
      </w:r>
    </w:p>
    <w:p>
      <w:r>
        <w:t xml:space="preserve">В основной ветке численные результаты защиты хранятся в </w:t>
      </w:r>
      <w:r>
        <w:rPr>
          <w:rFonts w:ascii="Consolas" w:hAnsi="Consolas"/>
          <w:sz w:val="19"/>
        </w:rPr>
        <w:t>docs/evidence/jury-evidence.json</w:t>
      </w:r>
      <w:r>
        <w:t xml:space="preserve">, отложенный ML-тест — в </w:t>
      </w:r>
      <w:r>
        <w:rPr>
          <w:rFonts w:ascii="Consolas" w:hAnsi="Consolas"/>
          <w:sz w:val="19"/>
        </w:rPr>
        <w:t>docs/evidence/forecast-test/metrics.json</w:t>
      </w:r>
      <w:r>
        <w:t xml:space="preserve">, индивидуальные ошибки — в соседнем сжатом файле </w:t>
      </w:r>
      <w:r>
        <w:rPr>
          <w:rFonts w:ascii="Consolas" w:hAnsi="Consolas"/>
          <w:sz w:val="19"/>
        </w:rPr>
        <w:t>residuals.csv.gz</w:t>
      </w:r>
      <w:r>
        <w:t xml:space="preserve">. Контрольные суммы внутри Windows-поставки находятся в </w:t>
      </w:r>
      <w:r>
        <w:rPr>
          <w:rFonts w:ascii="Consolas" w:hAnsi="Consolas"/>
          <w:sz w:val="19"/>
        </w:rPr>
        <w:t>SHA256SUMS.txt</w:t>
      </w:r>
      <w:r>
        <w:t xml:space="preserve">, сведения о версии — в </w:t>
      </w:r>
      <w:r>
        <w:rPr>
          <w:rFonts w:ascii="Consolas" w:hAnsi="Consolas"/>
          <w:sz w:val="19"/>
        </w:rPr>
        <w:t>RELEASE_MANIFEST.json</w:t>
      </w:r>
      <w:r>
        <w:t xml:space="preserve">. В первоначальном архиве v1.0.0 сценарий показа и численные доказательства расположены в </w:t>
      </w:r>
      <w:r>
        <w:rPr>
          <w:rFonts w:ascii="Consolas" w:hAnsi="Consolas"/>
          <w:sz w:val="19"/>
        </w:rPr>
        <w:t>release/DEMO_SCRIPT.md</w:t>
      </w:r>
      <w:r>
        <w:t xml:space="preserve"> и </w:t>
      </w:r>
      <w:r>
        <w:rPr>
          <w:rFonts w:ascii="Consolas" w:hAnsi="Consolas"/>
          <w:sz w:val="19"/>
        </w:rPr>
        <w:t>release/evidence/</w:t>
      </w:r>
      <w:r>
        <w:t>; это прежние пути внутри этого архива. Для управления приложением дополнительные журналы разработки не требуются.</w:t>
      </w:r>
    </w:p>
    <w:p>
      <w:pPr>
        <w:pStyle w:val="Heading1"/>
        <w:pageBreakBefore/>
        <w:spacing w:before="0"/>
      </w:pPr>
      <w:r>
        <w:t>Запуск и общий контекст</w:t>
      </w:r>
    </w:p>
    <w:p>
      <w:r>
        <w:t>Полное руководство относится к текущему интерфейсу Нефтекода. Основной маршрут жюри: «Обзор» → «Смесь» → «История/ML» → «Журнал». Экраны АВТ и гидроочистки позволяют проверить исходные показания; дополнительные исследовательские окна не обязательны для первого знакомства. Никакая кнопка не отправляет команды оборудованию.</w:t>
      </w:r>
    </w:p>
    <w:p>
      <w:r>
        <w:t xml:space="preserve">Полностью распакуйте Windows-поставку в папку с правом записи и откройте </w:t>
      </w:r>
      <w:r>
        <w:rPr>
          <w:rFonts w:ascii="Consolas" w:hAnsi="Consolas"/>
          <w:sz w:val="19"/>
        </w:rPr>
        <w:t>Neftekod.exe</w:t>
      </w:r>
      <w:r>
        <w:t>. Не переносите EXE отдельно от остальных файлов. При запуске автоматически рассчитывается «Повышенная сера». Дождитесь результата. Верхние кнопки переключают разделы, нижние блоки доступны прокруткой. Крестик основного окна закрывает приложение; крестик дополнительного окна закрывает только это окно.</w:t>
      </w:r>
    </w:p>
    <w:p>
      <w:pPr>
        <w:pStyle w:val="Heading2"/>
      </w:pPr>
      <w:r>
        <w:t>Какие данные можно менять</w:t>
      </w:r>
    </w:p>
    <w:p>
      <w:r>
        <w:t>Готовые модельные сценарии можно рассчитать без изменений или открыть «Синтетический what-if» на «Обзоре» либо «Смеси». Редактор позволяет менять синтетические свойства, запасы, текущие доли и модель присадки. Файлы готовых сценариев и реальные исторические измерения при этом не меняются.</w:t>
      </w:r>
    </w:p>
    <w:p>
      <w:r>
        <w:t>В исторических формах можно менять путь к подготовленным данным и момент времени. «Исторические данные» означает папку подготовленного набора, а не исходный CSV или архив. «Прогноз серы» означает путь к сохранённой модели, а не численное значение серы. Для штатного показа оставьте автоматически заполненные пути; используйте только доверенные совместимые модели.</w:t>
      </w:r>
    </w:p>
    <w:p>
      <w:r>
        <w:t xml:space="preserve">Дата должна содержать часовой пояс: </w:t>
      </w:r>
      <w:r>
        <w:rPr>
          <w:rFonts w:ascii="Consolas" w:hAnsi="Consolas"/>
          <w:sz w:val="19"/>
        </w:rPr>
        <w:t>2025-06-01T12:00:00+03:00</w:t>
      </w:r>
      <w:r>
        <w:t>. Путь к данным и момент времени общие для АВТ, гидроочистки, истории, Hybrid и соответствующих дополнительных форм. Их изменение не меняет входы синтетического сценария. Уже показанный результат не пересчитывается от редактирования поля: нажмите «Обновить» или кнопку расчёта нужного режима и дождитесь нового результата. Перед экспортом сверяйте время именно в результате.</w:t>
      </w:r>
    </w:p>
    <w:p>
      <w:pPr>
        <w:pStyle w:val="Heading2"/>
      </w:pPr>
      <w:r>
        <w:t>АВТ и Гидроочистка</w:t>
      </w:r>
    </w:p>
    <w:p>
      <w:r>
        <w:t>Откройте раздел верхней кнопкой либо кнопкой «Открыть» на карточке обзора. При входе загружается историческое состояние. Чтобы посмотреть другое время, заполните «Момент данных (ISO с timezone)» и нажмите «Обновить»; при необходимости измените «Исторические данные».</w:t>
      </w:r>
    </w:p>
    <w:p>
      <w:r>
        <w:t>Таблица показывает группу, идентификатор и смысл сигнала, значение с единицей, источник, возраст, статус свежести и ограничение использования. Счётчики «Свежие», «Устаревшие», «Нет данных» характеризуют доступность измерений, а не исправность установки. Значения в таблице не редактируются. При отсутствии данных проверьте путь и время; не трактуйте пропуск как ноль или норму.</w:t>
      </w:r>
    </w:p>
    <w:p>
      <w:pPr>
        <w:pStyle w:val="Heading1"/>
        <w:pageBreakBefore/>
        <w:spacing w:before="0"/>
      </w:pPr>
      <w:r>
        <w:t>Обзор и сценарии</w:t>
      </w:r>
    </w:p>
    <w:p>
      <w:r>
        <w:t>На «Обзоре» выберите сценарий в списке и нажмите «Рассчитать». Сам выбор в списке не запускает расчёт. Поле «60 мин» содержит единственный фиксированный вариант; через него нельзя менять горизонт или шаг исторического интервала. После завершения откройте «Смесь» для подробностей.</w:t>
      </w:r>
    </w:p>
    <w:tbl>
      <w:tblPr>
        <w:tblW w:type="auto" w:w="0"/>
        <w:jc w:val="center"/>
        <w:tblLayout w:type="fixed"/>
        <w:tblLook w:firstColumn="1" w:firstRow="1" w:lastColumn="0" w:lastRow="0" w:noHBand="0" w:noVBand="1" w:val="04A0"/>
      </w:tblPr>
      <w:tblGrid>
        <w:gridCol w:w="3118"/>
        <w:gridCol w:w="6633"/>
      </w:tblGrid>
      <w:tr>
        <w:trPr>
          <w:cantSplit/>
          <w:tblHeader/>
        </w:trPr>
        <w:tc>
          <w:tcPr>
            <w:tcW w:type="dxa" w:w="311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Сценарий</w:t>
            </w:r>
          </w:p>
        </w:tc>
        <w:tc>
          <w:tcPr>
            <w:tcW w:type="dxa" w:w="6633"/>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Что проверять после расчёта</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Нормальный режим</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hold</w:t>
            </w:r>
            <w:r>
              <w:rPr>
                <w:sz w:val="20"/>
              </w:rPr>
              <w:t>: текущая допустимая рецептура сохраняется</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Повышенная сера</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recommend</w:t>
            </w:r>
            <w:r>
              <w:rPr>
                <w:sz w:val="20"/>
              </w:rPr>
              <w:t>: верхняя оценка серы 14,058 → 9,306 мг/кг</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Риск T95</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recommend</w:t>
            </w:r>
            <w:r>
              <w:rPr>
                <w:sz w:val="20"/>
              </w:rPr>
              <w:t>: верхняя оценка T95 367 → 359,5 °C</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Низкое цетановое число</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recommend</w:t>
            </w:r>
            <w:r>
              <w:rPr>
                <w:sz w:val="20"/>
              </w:rPr>
              <w:t>: нижняя оценка цетанового числа 50,6 → 51,1</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Недостающие данные</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abstain</w:t>
            </w:r>
            <w:r>
              <w:rPr>
                <w:sz w:val="20"/>
              </w:rPr>
              <w:t>: неизвестное обязательное качество не позволяет рекомендовать изменение</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Риск и стоимость</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recommend</w:t>
            </w:r>
            <w:r>
              <w:rPr>
                <w:sz w:val="20"/>
              </w:rPr>
              <w:t>: модельный риск 0,80 → 0,73 при росте стоимостного индекса 1,99 → 2,0395</w:t>
            </w:r>
          </w:p>
        </w:tc>
      </w:tr>
    </w:tbl>
    <w:p>
      <w:pPr>
        <w:spacing w:after="20"/>
      </w:pPr>
    </w:p>
    <w:p>
      <w:r>
        <w:t>Карточки «Сера · верхняя», «T95 · верхняя», «Цетановое · нижняя» относятся к выбранному модельному результату. T95 — температура выкипания 95% топлива. Для серы и T95 проверяется верхняя оценка, для цетанового числа — нижняя. Это оценки в рамках сценария, не промышленная гарантия.</w:t>
      </w:r>
    </w:p>
    <w:p>
      <w:r>
        <w:t>График сравнивает текущую рецептуру и выбранный вариант по верхней оценке серы. Пунктирный предел равен 10 мг/кг. Соединение двух точек не является историческим трендом или прогнозом траектории процесса. Если оценка недоступна, число не подставляется.</w:t>
      </w:r>
    </w:p>
    <w:p>
      <w:r>
        <w:t>Нижние карточки АВТ и гидроочистки показывают уже исторический контекст: число свежих, устаревших и отсутствующих показаний. Карточка «История/ML» сообщает о наличии подготовленных данных и моделей. Эти карточки не являются входными паспортами синтетической смеси.</w:t>
      </w:r>
    </w:p>
    <w:p>
      <w:r>
        <w:t>Кнопки «Открыть» на карточках переходят в соответствующий раздел. Полоса «АВТ», «Гидроочистка», «Смесь» дублирует навигацию сверху. Нажатие на «Источники, проверка конфигурации и подготовка данных» раскрывает дополнительные инструменты, повторное нажатие сворачивает их.</w:t>
      </w:r>
    </w:p>
    <w:p>
      <w:r>
        <w:t>Для основного показа достаточно последовательно рассчитать «Повышенная сера», «Недостающие данные» и «Риск и стоимость». Остальные сценарии позволяют отдельно проверить ограничение T95, цетановое число и сохранение нормального режима.</w:t>
      </w:r>
    </w:p>
    <w:p>
      <w:pPr>
        <w:pStyle w:val="Heading1"/>
        <w:pageBreakBefore/>
        <w:spacing w:before="0"/>
      </w:pPr>
      <w:r>
        <w:t>Смесь и Hybrid</w:t>
      </w:r>
    </w:p>
    <w:p>
      <w:pPr>
        <w:pStyle w:val="Heading2"/>
      </w:pPr>
      <w:r>
        <w:t>Последний модельный расчёт</w:t>
      </w:r>
    </w:p>
    <w:p>
      <w:r>
        <w:t>Откройте «Смесь» после расчёта на «Обзоре». Экран показывает рекомендацию, текущие и выбранные массовые доли и массы компонентов с присадкой, ожидаемое качество и проверку ограничений. Сумма долей вместе с присадкой равна 100%. Таблица результата не редактируется. Для своих входных значений нажмите «Синтетический what-if». Чтобы вернуться к готовому примеру, выберите его на «Обзоре» и нажмите «Рассчитать».</w:t>
      </w:r>
    </w:p>
    <w:p>
      <w:r>
        <w:t>В «Повышенной сере» выбранная рецептура: A 89,1%, B 9,9%, присадка 1%. Для партии 100 т это 89,1 т, 9,9 т и 1 т. Проверьте серу сверху 9,306 мг/кг, T95 сверху 354 °C и цетановое число снизу 52,6.</w:t>
      </w:r>
    </w:p>
    <w:p>
      <w:r>
        <w:t>«Почему выбран этот вариант» раскрывает объяснение решения. «Альтернативы и ход расчёта» раскрывает доступные альтернативы и их оценки серы; это не пошаговый отладчик оптимизатора. Повторное нажатие сворачивает блок. «Скачать расчёт» открывает диалог сохранения последнего модельного результата в JSON. «Открыть журнал» переводит к сохранённым запускам.</w:t>
      </w:r>
    </w:p>
    <w:p>
      <w:pPr>
        <w:pStyle w:val="Heading2"/>
      </w:pPr>
      <w:r>
        <w:t>Условная смесь по историческому прогнозу</w:t>
      </w:r>
    </w:p>
    <w:p>
      <w:r>
        <w:t>Ниже расположен блок «Hybrid: АВТ → гидроочистка → смесь». Он получает прогноз серы компонента A из истории и рассчитывает серу условной смеси с заданной рецептурой. Это отдельный результат, а не пересчёт верхнего модельного сценария.</w:t>
      </w:r>
    </w:p>
    <w:p>
      <w:r>
        <w:t>1. Оставьте штатные значения полей «Исторические данные» и «Прогноз серы».</w:t>
      </w:r>
    </w:p>
    <w:p>
      <w:r>
        <w:t xml:space="preserve">2. Задайте «Момент данных (ISO с timezone)», например </w:t>
      </w:r>
      <w:r>
        <w:rPr>
          <w:rFonts w:ascii="Consolas" w:hAnsi="Consolas"/>
          <w:sz w:val="19"/>
        </w:rPr>
        <w:t>2025-06-01T12:00:00+03:00</w:t>
      </w:r>
      <w:r>
        <w:t>.</w:t>
      </w:r>
    </w:p>
    <w:p>
      <w:r>
        <w:t>3. Нажмите «Рассчитать hybrid» и дождитесь обновления результата. Проверьте идентификаторы состояния и модели, серу компонента A, серу смеси, допущения и статус ограничения.</w:t>
      </w:r>
    </w:p>
    <w:p>
      <w:r>
        <w:t>4. Нажмите «Экспортировать hybrid», выберите имя и папку JSON, подтвердите сохранение.</w:t>
      </w:r>
    </w:p>
    <w:p>
      <w:r>
        <w:t>Hybrid проверяет только серу. Он не подтверждает T95, цетановое число, полный товарный паспорт или причинную динамику всей цепочки установок. Если прогноз компонента A недоступен, приложение не заменяет его синтетическим производственным значением. Менять рецептуру Hybrid вручную в UI нельзя.</w:t>
      </w:r>
    </w:p>
    <w:p>
      <w:r>
        <w:t>Не путайте кнопки экспорта: «Скачать расчёт» сохраняет модельный результат верхней части страницы, а «Экспортировать hybrid» — отдельный результат нижнего блока. После изменения исторических полей сначала завершите новый расчёт Hybrid, затем экспортируйте его.</w:t>
      </w:r>
    </w:p>
    <w:p>
      <w:pPr>
        <w:pStyle w:val="Heading1"/>
        <w:pageBreakBefore/>
        <w:spacing w:before="0"/>
      </w:pPr>
      <w:r>
        <w:t>Синтетический редактор what-if</w:t>
      </w:r>
    </w:p>
    <w:p>
      <w:r>
        <w:t>Нажмите «Синтетический what-if» на «Обзоре» или «Смеси». За основу берётся выбранный готовый сценарий. При повторном открытии после успешного пересчёта редактор показывает последние изменённые входы этого сценария. Это эксперимент с модельными допущениями, а не правка истории предприятия.</w:t>
      </w:r>
    </w:p>
    <w:p>
      <w:r>
        <w:t>На вкладке «Компоненты и текущая рецептура» для A и B задаются сера и её верхняя оценка (мг/кг), T95 и его верхняя оценка (°C), цетановое число и его нижняя оценка, запас (т), стоимость (условный индекс/т), риск от 0 до 1 и текущая массовая доля (%). Пустое поле качества означает неизвестное значение и может привести к отказу; запас и другие обязательные числа оставлять пустыми нельзя.</w:t>
      </w:r>
    </w:p>
    <w:p>
      <w:r>
        <w:t>На вкладке «Партия и присадка» задаются положительная масса партии (т), текущая доля присадки (%), максимум присадки (1, 2 или 3%), запас (т), стоимость (условный индекс/т) и прирост цетанового числа при 1, 2 и 3%. Кривая эффекта остаётся синтетической; прирост не должен уменьшаться с дозой.</w:t>
      </w:r>
    </w:p>
    <w:tbl>
      <w:tblPr>
        <w:tblW w:type="auto" w:w="0"/>
        <w:jc w:val="center"/>
        <w:tblLayout w:type="fixed"/>
        <w:tblLook w:firstColumn="1" w:firstRow="1" w:lastColumn="0" w:lastRow="0" w:noHBand="0" w:noVBand="1" w:val="04A0"/>
      </w:tblPr>
      <w:tblGrid>
        <w:gridCol w:w="3118"/>
        <w:gridCol w:w="6633"/>
      </w:tblGrid>
      <w:tr>
        <w:trPr>
          <w:cantSplit/>
          <w:tblHeader/>
        </w:trPr>
        <w:tc>
          <w:tcPr>
            <w:tcW w:type="dxa" w:w="311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Кнопка</w:t>
            </w:r>
          </w:p>
        </w:tc>
        <w:tc>
          <w:tcPr>
            <w:tcW w:type="dxa" w:w="6633"/>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Действие</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Пересчитать what-if</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Проверяет поля, закрывает редактор и запускает существующий расчёт; результат появляется на «Смеси» с отметкой what-if</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Сбросить к сценарию</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Восстанавливает исходные поля; затем нажмите «Пересчитать what-if», чтобы обновить результат</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Закрыть без изменений</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Закрывает редактор без применения введённых значений; крестик действует так же</w:t>
            </w:r>
          </w:p>
        </w:tc>
      </w:tr>
    </w:tbl>
    <w:p>
      <w:pPr>
        <w:spacing w:after="20"/>
      </w:pPr>
    </w:p>
    <w:p>
      <w:r>
        <w:t>Сумма текущих долей A, B и присадки должна равняться 100%. Верхняя оценка не может быть ниже точки, нижняя — выше. Числа должны быть конечными и неотрицательными; допустимы точка и запятая. Ошибка ввода остаётся в окне. Нехватка запасов, пропущенное качество или отсутствие допустимой смеси дают объяснённый отказ, а не вымышленную рекомендацию.</w:t>
      </w:r>
    </w:p>
    <w:p>
      <w:r>
        <w:t xml:space="preserve">Оптимизатор сохраняет прежний дискретный перебор: соотношение A/B с шагом 5% без присадки, присадка с шагом 1%. Редактор не обещает непрерывный математический оптимум. Изменённый сценарий сохраняется в журнале </w:t>
      </w:r>
      <w:r>
        <w:rPr>
          <w:rFonts w:ascii="Consolas" w:hAnsi="Consolas"/>
          <w:sz w:val="19"/>
        </w:rPr>
        <w:t>input.json</w:t>
      </w:r>
      <w:r>
        <w:t xml:space="preserve"> и в экспорте; исходный preset на диске остаётся прежним.</w:t>
      </w:r>
    </w:p>
    <w:p>
      <w:r>
        <w:t>Для дополнительной минуты показа выберите «Повышенная сера», откройте редактор и измените серу A с 6 до 1, верхнюю оценку с 7 до 2 мг/кг. Нажмите пересчёт и сравните качество исходной смеси. Затем снова откройте редактор, сбросьте поля и пересчитайте: исходный пример вернётся.</w:t>
      </w:r>
    </w:p>
    <w:p>
      <w:pPr>
        <w:pStyle w:val="Heading1"/>
        <w:pageBreakBefore/>
        <w:spacing w:before="0"/>
      </w:pPr>
      <w:r>
        <w:t>История и экспорт</w:t>
      </w:r>
    </w:p>
    <w:p>
      <w:pPr>
        <w:spacing w:after="60" w:line="240" w:lineRule="auto"/>
      </w:pPr>
      <w:r>
        <w:t>Откройте «История/ML». В готовой поставке данные и основной прогноз уже выбраны. «Момент данных (ISO с timezone)» задаёт время одиночного расчёта или начало интервала. «Конец исторического интервала (ISO с timezone)» нужен только для интервала. Технические пути скрыты в свёрнутом блоке «Дополнительные настройки данных и модели». Нажмите заголовок, только если нужно сменить подготовленные данные или доверенную модель. Поле «Артефакт действий (не используется)» оставьте пустым: штатная поставка не включает модель реальных воздействий.</w:t>
      </w:r>
    </w:p>
    <w:p>
      <w:pPr>
        <w:spacing w:after="60" w:line="240" w:lineRule="auto"/>
      </w:pPr>
      <w:r>
        <w:t xml:space="preserve">Для одной точки задайте </w:t>
      </w:r>
      <w:r>
        <w:rPr>
          <w:rFonts w:ascii="Consolas" w:hAnsi="Consolas"/>
          <w:sz w:val="19"/>
        </w:rPr>
        <w:t>2025-06-01T12:00:00+03:00</w:t>
      </w:r>
      <w:r>
        <w:t xml:space="preserve"> и нажмите «Рассчитать на выбранный момент». Поле конца при этом не используется. Основной прогноз оценивает серу через 60 минут по данным, доступным на выбранный момент.</w:t>
      </w:r>
    </w:p>
    <w:p>
      <w:pPr>
        <w:spacing w:after="60" w:line="240" w:lineRule="auto"/>
      </w:pPr>
      <w:r>
        <w:t xml:space="preserve">Для интервала оставьте это начало, задайте конец </w:t>
      </w:r>
      <w:r>
        <w:rPr>
          <w:rFonts w:ascii="Consolas" w:hAnsi="Consolas"/>
          <w:sz w:val="19"/>
        </w:rPr>
        <w:t>2025-06-01T13:00:00+03:00</w:t>
      </w:r>
      <w:r>
        <w:t xml:space="preserve"> и нажмите «Рассчитать интервал». Получатся две исходные точки, 12:00 и 13:00, каждая со своим прогнозом на 60 минут вперёд. Конец не должен быть раньше начала. Интервал ограничен 10 000 точками.</w:t>
      </w:r>
    </w:p>
    <w:p>
      <w:pPr>
        <w:spacing w:after="60" w:line="240" w:lineRule="auto"/>
      </w:pPr>
      <w:r>
        <w:t xml:space="preserve">Шаг расчёта в UI фиксирован: 60 минут. Другая продолжительность интервала задаётся его границами; другой шаг доступен только в CLI через </w:t>
      </w:r>
      <w:r>
        <w:rPr>
          <w:rFonts w:ascii="Consolas" w:hAnsi="Consolas"/>
          <w:sz w:val="19"/>
        </w:rPr>
        <w:t>--step-minutes</w:t>
      </w:r>
      <w:r>
        <w:t>. Если конец не совпадает с часовой сеткой от начала, последняя точка будет раньше указанного конца.</w:t>
      </w:r>
    </w:p>
    <w:tbl>
      <w:tblPr>
        <w:tblW w:type="auto" w:w="0"/>
        <w:jc w:val="center"/>
        <w:tblLayout w:type="fixed"/>
        <w:tblLook w:firstColumn="1" w:firstRow="1" w:lastColumn="0" w:lastRow="0" w:noHBand="0" w:noVBand="1" w:val="04A0"/>
      </w:tblPr>
      <w:tblGrid>
        <w:gridCol w:w="3118"/>
        <w:gridCol w:w="6633"/>
      </w:tblGrid>
      <w:tr>
        <w:trPr>
          <w:cantSplit/>
          <w:tblHeader/>
        </w:trPr>
        <w:tc>
          <w:tcPr>
            <w:tcW w:type="dxa" w:w="311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Кнопка</w:t>
            </w:r>
          </w:p>
        </w:tc>
        <w:tc>
          <w:tcPr>
            <w:tcW w:type="dxa" w:w="6633"/>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Что происходит</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Рассчитать на выбранный момент</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Запускается одиночный исторический расчёт</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Рассчитать интервал</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Запускаются последовательные точки с отображением прогресса</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Отменить интервал</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Отмена проверяется после текущей точки; завершённые точки остаются в явно обозначенном частичном результате</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t>Экспортировать этот результат</w:t>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Сохраняется результат точки или интервала, в том числе частичного, в JSON</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t>Журнал</w:t>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Открываются сохранённые запуски; переход с истории также запрашивает отмену текущего интервала</w:t>
            </w:r>
          </w:p>
        </w:tc>
      </w:tr>
    </w:tbl>
    <w:p>
      <w:pPr>
        <w:spacing w:after="20"/>
      </w:pPr>
    </w:p>
    <w:p>
      <w:pPr>
        <w:spacing w:after="60" w:line="240" w:lineRule="auto"/>
      </w:pPr>
      <w:r>
        <w:t>Во время расчёта оставайтесь на странице истории и следите за прогрессом. Первичная загрузка занимает время. Отмена не прерывает уже вычисляемую точку мгновенно. После запуска нового расчёта экспорт истории недоступен до получения нового результата. Не закрывайте приложение до завершения расчёта, если нужен результат.</w:t>
      </w:r>
    </w:p>
    <w:p>
      <w:pPr>
        <w:spacing w:after="60" w:line="240" w:lineRule="auto"/>
      </w:pPr>
      <w:r>
        <w:t>Контрольный пример на 12:00: прогноз 10,15656 мг/кг, верхняя оценка 10,38809 мг/кг. На 13:00: 9,00645 и 10,27399 мг/кг. Отсутствие реального управляющего действия ожидаемо в обеих точках. График показывает точечный прогноз серы бирюзовым, верхнюю оценку синим и предел 10 мг/кг пунктиром. По горизонтали указано время, на которое сделан прогноз: для исходных 12:00 и 13:00 это 13:00 и 14:00. Наведите мышь для точных значений. Пропуски не соединяются линией; это прогноз, а не измеренный факт. Ниже остаются подробности JSON, включая время, модель, причины ограничений и журнал.</w:t>
      </w:r>
    </w:p>
    <w:p>
      <w:pPr>
        <w:pStyle w:val="Heading2"/>
      </w:pPr>
      <w:r>
        <w:t>Три отдельных экспорта</w:t>
      </w:r>
    </w:p>
    <w:p>
      <w:pPr>
        <w:spacing w:after="60" w:line="240" w:lineRule="auto"/>
      </w:pPr>
      <w:r>
        <w:t xml:space="preserve">«Скачать расчёт» на «Смеси» сохраняет модельную рекомендацию; для what-if JSON также содержит изменённый сценарий в </w:t>
      </w:r>
      <w:r>
        <w:rPr>
          <w:rFonts w:ascii="Consolas" w:hAnsi="Consolas"/>
          <w:sz w:val="19"/>
        </w:rPr>
        <w:t>synthetic_scenario</w:t>
      </w:r>
      <w:r>
        <w:t>. «Экспортировать hybrid» сохраняет условную смесь по историческому прогнозу. «Экспортировать этот результат» на «Истории/ML» сохраняет историческую точку или интервал. Каждая кнопка открывает выбор файла JSON; отмена диалога ничего не сохраняет. PDF, Excel и общий архив всех запусков эти кнопки не создают.</w:t>
      </w:r>
    </w:p>
    <w:p>
      <w:pPr>
        <w:pStyle w:val="Heading1"/>
        <w:pageBreakBefore/>
        <w:spacing w:before="0"/>
      </w:pPr>
      <w:r>
        <w:t>Дополнительные инструменты</w:t>
      </w:r>
    </w:p>
    <w:p>
      <w:r>
        <w:t>Откройте «Обзор» и раскройте «Источники, проверка конфигурации и подготовка данных». Для первого показа эти инструменты не нужны. Дополнительные окна закрываются крестиком; отдельных кнопок экспорта их результатов нет. Данные и модели в полях задаются путями, а не численными значениями.</w:t>
      </w:r>
    </w:p>
    <w:p>
      <w:pPr>
        <w:pStyle w:val="Heading2"/>
      </w:pPr>
      <w:r>
        <w:t>Проверка и подготовка</w:t>
      </w:r>
    </w:p>
    <w:p>
      <w:r>
        <w:t>«Проверить конфигурацию» проверяет конфигурационные контракты, теги и сценарии; результат появляется в сообщении. Это не проверка точности ML и не полный тест приложения.</w:t>
      </w:r>
    </w:p>
    <w:p>
      <w:r>
        <w:t xml:space="preserve">«Подготовить данные» запрашивает подтверждение чтения исходных материалов из </w:t>
      </w:r>
      <w:r>
        <w:rPr>
          <w:rFonts w:ascii="Consolas" w:hAnsi="Consolas"/>
          <w:sz w:val="19"/>
        </w:rPr>
        <w:t>materials</w:t>
      </w:r>
      <w:r>
        <w:t xml:space="preserve"> и создаёт локальный подготовленный набор. Подтвердите только при наличии исходного архива и необходимости подготовки; отмена подтверждения не запускает операцию. Подготовка может занять несколько минут. Перед штатным показом готового ZIP она не требуется; после неё проверьте путь выбранного набора в исторических формах.</w:t>
      </w:r>
    </w:p>
    <w:p>
      <w:r>
        <w:t>«Собрать historical state» открывает поля данных и времени. Нажмите «Собрать состояние», чтобы получить JSON состояния, доступного к этому моменту. Прогноз эта кнопка не рассчитывает.</w:t>
      </w:r>
    </w:p>
    <w:p>
      <w:pPr>
        <w:pStyle w:val="Heading2"/>
      </w:pPr>
      <w:r>
        <w:t>Одиночный прогноз и исследование превышений</w:t>
      </w:r>
    </w:p>
    <w:p>
      <w:r>
        <w:t>«Прогноз серы» открывает ещё одну форму одиночного исторического расчёта. Оставьте штатные данные и модель, укажите время с часовым поясом и нажмите «Рассчитать прогноз». Поле «Проверенный action-артефакт (необязательно)» оставьте пустым. Для обычного просмотра удобнее основная вкладка «История/ML», где есть экспорт.</w:t>
      </w:r>
    </w:p>
    <w:p>
      <w:r>
        <w:t>«Эпизодный прогноз v2» открывает поля данных, «Shadow-артефакт v2» и времени. Используйте выбранную модель v2 и нажмите «Рассчитать episode forecast». Результат показывает вероятности начала эпизода превышения на 10, 20, 30 и 60 минутах, прогнозные оценки и применимость. Это исследовательское предупреждение в shadow-режиме, без изменения уставок; тревога не означает доказанное будущее нарушение.</w:t>
      </w:r>
    </w:p>
    <w:p>
      <w:pPr>
        <w:pStyle w:val="Heading2"/>
      </w:pPr>
      <w:r>
        <w:t>Лабораторная коррекция и эффекты тегов</w:t>
      </w:r>
    </w:p>
    <w:p>
      <w:r>
        <w:t xml:space="preserve">«Контроль ПАК–ЛИМС» принимает данные и модель «Прогноз ПАК». Нажмите «Оценить LIMS-коррекцию»: выполняется отдельная оценка по доступным лабораторным наблюдениям с учётом задержки. Общий выбранный момент времени эту оценку не ограничивает: в форме нет поля времени. Результат </w:t>
      </w:r>
      <w:r>
        <w:rPr>
          <w:rFonts w:ascii="Consolas" w:hAnsi="Consolas"/>
          <w:sz w:val="19"/>
        </w:rPr>
        <w:t>research_only</w:t>
      </w:r>
      <w:r>
        <w:t xml:space="preserve"> означает, что критерии допуска не пройдены; </w:t>
      </w:r>
      <w:r>
        <w:rPr>
          <w:rFonts w:ascii="Consolas" w:hAnsi="Consolas"/>
          <w:sz w:val="19"/>
        </w:rPr>
        <w:t>eligible_for_shadow</w:t>
      </w:r>
      <w:r>
        <w:t xml:space="preserve"> допускает лишь дальнейшую теневую проверку. Основная модель приложения автоматически не заменяется.</w:t>
      </w:r>
    </w:p>
    <w:p>
      <w:r>
        <w:t xml:space="preserve">«Исторический эффект P8/F19 (не совет)» требует отдельного совместимого исследовательского action-артефакта; в штатной поставке поле пустое. Для подготовленного исследования задайте данные, артефакт, время, тег </w:t>
      </w:r>
      <w:r>
        <w:rPr>
          <w:rFonts w:ascii="Consolas" w:hAnsi="Consolas"/>
          <w:sz w:val="19"/>
        </w:rPr>
        <w:t>ht:P8</w:t>
      </w:r>
      <w:r>
        <w:t xml:space="preserve"> или </w:t>
      </w:r>
      <w:r>
        <w:rPr>
          <w:rFonts w:ascii="Consolas" w:hAnsi="Consolas"/>
          <w:sz w:val="19"/>
        </w:rPr>
        <w:t>ht:F19</w:t>
      </w:r>
      <w:r>
        <w:t xml:space="preserve"> и изменение в исходной единице, затем нажмите «Рассчитать исследовательский сценарий». P8 — перепад давления Р-202, МПа; F19 — расход бензина в К-201, т/ч. Без артефакта успешный расчёт не ожидается. Результат по историческим эпизодам не доказывает причинный эффект и не является советом оператору.</w:t>
      </w:r>
    </w:p>
    <w:p>
      <w:pPr>
        <w:pStyle w:val="Heading1"/>
        <w:pageBreakBefore/>
        <w:spacing w:before="0"/>
      </w:pPr>
      <w:r>
        <w:t>Журнал статусы и ожидаемые отказы</w:t>
      </w:r>
    </w:p>
    <w:p>
      <w:pPr>
        <w:pStyle w:val="Heading2"/>
      </w:pPr>
      <w:r>
        <w:t>Просмотр сохранённых запусков</w:t>
      </w:r>
    </w:p>
    <w:p>
      <w:pPr>
        <w:spacing w:after="60" w:line="240" w:lineRule="auto"/>
      </w:pPr>
      <w:r>
        <w:t xml:space="preserve">Откройте «Журнал» верхней кнопкой либо переходом с расчётного экрана. Слева выберите запись по моменту данных, сценарию, статусу и короткому идентификатору. Справа появятся объяснение, модель, путь к папке доказательств, полный </w:t>
      </w:r>
      <w:r>
        <w:rPr>
          <w:rFonts w:ascii="Consolas" w:hAnsi="Consolas"/>
          <w:sz w:val="19"/>
        </w:rPr>
        <w:t>result.json</w:t>
      </w:r>
      <w:r>
        <w:t xml:space="preserve"> и имеющиеся </w:t>
      </w:r>
      <w:r>
        <w:rPr>
          <w:rFonts w:ascii="Consolas" w:hAnsi="Consolas"/>
          <w:sz w:val="19"/>
        </w:rPr>
        <w:t>metadata.json</w:t>
      </w:r>
      <w:r>
        <w:t>. При пустом журнале выполните модельный расчёт на «Обзоре» и вернитесь сюда.</w:t>
      </w:r>
    </w:p>
    <w:p>
      <w:pPr>
        <w:spacing w:after="60" w:line="240" w:lineRule="auto"/>
      </w:pPr>
      <w:r>
        <w:t>Записи нельзя редактировать или удалять из интерфейса. Отдельного экспорта всего журнала нет; используйте нужный экспорт на расчётном экране. Журнал не является общей корзиной всех вспомогательных отчётов: результат исследовательского окна не следует считать сохранённым только потому, что он показан на экране.</w:t>
      </w:r>
    </w:p>
    <w:p>
      <w:pPr>
        <w:pStyle w:val="Heading2"/>
      </w:pPr>
      <w:r>
        <w:t>Как читать статусы</w:t>
      </w:r>
    </w:p>
    <w:tbl>
      <w:tblPr>
        <w:tblW w:type="auto" w:w="0"/>
        <w:jc w:val="center"/>
        <w:tblLayout w:type="fixed"/>
        <w:tblLook w:firstColumn="1" w:firstRow="1" w:lastColumn="0" w:lastRow="0" w:noHBand="0" w:noVBand="1" w:val="04A0"/>
      </w:tblPr>
      <w:tblGrid>
        <w:gridCol w:w="3118"/>
        <w:gridCol w:w="6633"/>
      </w:tblGrid>
      <w:tr>
        <w:trPr>
          <w:cantSplit/>
          <w:tblHeader/>
        </w:trPr>
        <w:tc>
          <w:tcPr>
            <w:tcW w:type="dxa" w:w="3118"/>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Статус или обозначение</w:t>
            </w:r>
          </w:p>
        </w:tc>
        <w:tc>
          <w:tcPr>
            <w:tcW w:type="dxa" w:w="6633"/>
            <w:vAlign w:val="center"/>
            <w:shd w:fill="20353D"/>
            <w:tcBorders>
              <w:top w:val="single" w:sz="4" w:color="D9D9D9"/>
              <w:left w:val="single" w:sz="4" w:color="D9D9D9"/>
              <w:bottom w:val="single" w:sz="4" w:color="D9D9D9"/>
              <w:right w:val="single" w:sz="4" w:color="D9D9D9"/>
            </w:tcBorders>
          </w:tcPr>
          <w:p>
            <w:pPr>
              <w:spacing w:before="80" w:after="80"/>
            </w:pPr>
            <w:r>
              <w:rPr>
                <w:b/>
                <w:color w:val="FFFFFF"/>
                <w:sz w:val="20"/>
              </w:rPr>
              <w:t>Смысл и действие пользователя</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hold</w:t>
            </w:r>
            <w:r>
              <w:rPr>
                <w:sz w:val="20"/>
              </w:rPr>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Текущий модельный вариант можно сохранить; улучшение не требует рекомендации изменения</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recommend</w:t>
            </w:r>
            <w:r>
              <w:rPr>
                <w:sz w:val="20"/>
              </w:rPr>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Выбран вариант в пределах модельных допущений; это не команда реальной установке</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abstain</w:t>
            </w:r>
            <w:r>
              <w:rPr>
                <w:sz w:val="20"/>
              </w:rPr>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Система воздержалась от рекомендации. Прочитайте причины: возможны неполные данные или отсутствие модели последствий действия</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pass</w:t>
            </w:r>
            <w:r>
              <w:rPr>
                <w:sz w:val="20"/>
              </w:rPr>
              <w:t xml:space="preserve"> / </w:t>
            </w:r>
            <w:r>
              <w:rPr>
                <w:rFonts w:ascii="Consolas" w:hAnsi="Consolas"/>
                <w:sz w:val="20"/>
              </w:rPr>
              <w:t>fail</w:t>
            </w:r>
            <w:r>
              <w:rPr>
                <w:sz w:val="20"/>
              </w:rPr>
              <w:t xml:space="preserve"> / </w:t>
            </w:r>
            <w:r>
              <w:rPr>
                <w:rFonts w:ascii="Consolas" w:hAnsi="Consolas"/>
                <w:sz w:val="20"/>
              </w:rPr>
              <w:t>unknown</w:t>
            </w:r>
            <w:r>
              <w:rPr>
                <w:sz w:val="20"/>
              </w:rPr>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 xml:space="preserve">Ограничение выполнено / нарушено / не подтверждено. </w:t>
            </w:r>
            <w:r>
              <w:rPr>
                <w:rFonts w:ascii="Consolas" w:hAnsi="Consolas"/>
                <w:sz w:val="20"/>
              </w:rPr>
              <w:t>unknown</w:t>
            </w:r>
            <w:r>
              <w:rPr>
                <w:sz w:val="20"/>
              </w:rPr>
              <w:t xml:space="preserve"> не означает норму</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ready</w:t>
            </w:r>
            <w:r>
              <w:rPr>
                <w:sz w:val="20"/>
              </w:rPr>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Результат или данные доступны; это не разрешение промышленного применения</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empty</w:t>
            </w:r>
            <w:r>
              <w:rPr>
                <w:sz w:val="20"/>
              </w:rPr>
              <w:t xml:space="preserve"> / </w:t>
            </w:r>
            <w:r>
              <w:rPr>
                <w:rFonts w:ascii="Consolas" w:hAnsi="Consolas"/>
                <w:sz w:val="20"/>
              </w:rPr>
              <w:t>unavailable</w:t>
            </w:r>
            <w:r>
              <w:rPr>
                <w:sz w:val="20"/>
              </w:rPr>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Результат ещё не получен либо нужный ресурс недоступен. Проверьте сообщение, данные и модель</w:t>
            </w:r>
          </w:p>
        </w:tc>
      </w:tr>
      <w:tr>
        <w:trPr>
          <w:cantSplit/>
        </w:trPr>
        <w:tc>
          <w:tcPr>
            <w:tcW w:type="dxa" w:w="3118"/>
            <w:vAlign w:val="center"/>
            <w:shd w:fill="F0F3F4"/>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shadow_only</w:t>
            </w:r>
            <w:r>
              <w:rPr>
                <w:sz w:val="20"/>
              </w:rPr>
            </w:r>
          </w:p>
        </w:tc>
        <w:tc>
          <w:tcPr>
            <w:tcW w:type="dxa" w:w="6633"/>
            <w:vAlign w:val="center"/>
            <w:shd w:fill="F0F3F4"/>
            <w:tcBorders>
              <w:top w:val="single" w:sz="4" w:color="D9D9D9"/>
              <w:left w:val="single" w:sz="4" w:color="D9D9D9"/>
              <w:bottom w:val="single" w:sz="4" w:color="D9D9D9"/>
              <w:right w:val="single" w:sz="4" w:color="D9D9D9"/>
            </w:tcBorders>
          </w:tcPr>
          <w:p>
            <w:pPr>
              <w:spacing w:before="80" w:after="80"/>
            </w:pPr>
            <w:r>
              <w:rPr>
                <w:sz w:val="20"/>
              </w:rPr>
              <w:t>Исследовательское наблюдение и предупреждение без управления</w:t>
            </w:r>
          </w:p>
        </w:tc>
      </w:tr>
      <w:tr>
        <w:trPr>
          <w:cantSplit/>
        </w:trPr>
        <w:tc>
          <w:tcPr>
            <w:tcW w:type="dxa" w:w="3118"/>
            <w:vAlign w:val="center"/>
            <w:shd w:fill="FFFFFF"/>
            <w:tcBorders>
              <w:top w:val="single" w:sz="4" w:color="D9D9D9"/>
              <w:left w:val="single" w:sz="4" w:color="D9D9D9"/>
              <w:bottom w:val="single" w:sz="4" w:color="D9D9D9"/>
              <w:right w:val="single" w:sz="4" w:color="D9D9D9"/>
            </w:tcBorders>
          </w:tcPr>
          <w:p>
            <w:pPr>
              <w:spacing w:before="80" w:after="80"/>
            </w:pPr>
            <w:r>
              <w:rPr>
                <w:sz w:val="20"/>
              </w:rPr>
            </w:r>
            <w:r>
              <w:rPr>
                <w:rFonts w:ascii="Consolas" w:hAnsi="Consolas"/>
                <w:sz w:val="20"/>
              </w:rPr>
              <w:t>cancelled</w:t>
            </w:r>
            <w:r>
              <w:rPr>
                <w:sz w:val="20"/>
              </w:rPr>
            </w:r>
          </w:p>
        </w:tc>
        <w:tc>
          <w:tcPr>
            <w:tcW w:type="dxa" w:w="6633"/>
            <w:vAlign w:val="center"/>
            <w:shd w:fill="FFFFFF"/>
            <w:tcBorders>
              <w:top w:val="single" w:sz="4" w:color="D9D9D9"/>
              <w:left w:val="single" w:sz="4" w:color="D9D9D9"/>
              <w:bottom w:val="single" w:sz="4" w:color="D9D9D9"/>
              <w:right w:val="single" w:sz="4" w:color="D9D9D9"/>
            </w:tcBorders>
          </w:tcPr>
          <w:p>
            <w:pPr>
              <w:spacing w:before="80" w:after="80"/>
            </w:pPr>
            <w:r>
              <w:rPr>
                <w:sz w:val="20"/>
              </w:rPr>
              <w:t>Интервал отменён; учитывать можно только перечисленные завершённые точки</w:t>
            </w:r>
          </w:p>
        </w:tc>
      </w:tr>
    </w:tbl>
    <w:p>
      <w:pPr>
        <w:spacing w:after="20"/>
      </w:pPr>
    </w:p>
    <w:p>
      <w:pPr>
        <w:spacing w:after="60" w:line="240" w:lineRule="auto"/>
      </w:pPr>
      <w:r>
        <w:t xml:space="preserve">Численный исторический прогноз вместе с </w:t>
      </w:r>
      <w:r>
        <w:rPr>
          <w:rFonts w:ascii="Consolas" w:hAnsi="Consolas"/>
          <w:sz w:val="19"/>
        </w:rPr>
        <w:t>abstain</w:t>
      </w:r>
      <w:r>
        <w:t xml:space="preserve"> не является противоречием: модель качества может оценить серу, но проверенной модели реальных воздействий в поставке нет. </w:t>
      </w:r>
      <w:r>
        <w:rPr>
          <w:rFonts w:ascii="Consolas" w:hAnsi="Consolas"/>
          <w:sz w:val="19"/>
        </w:rPr>
        <w:t>supports_actions=false</w:t>
      </w:r>
      <w:r>
        <w:t xml:space="preserve"> сохраняет этот запрет. В сценарии «Недостающие данные» отказ также ожидаем: неизвестное обязательное свойство не заменяется нулём.</w:t>
      </w:r>
    </w:p>
    <w:p>
      <w:pPr>
        <w:spacing w:after="60" w:line="240" w:lineRule="auto"/>
      </w:pPr>
      <w:r>
        <w:t>Если дата не принимается, используйте ISO с часовым поясом и проверьте порядок границ интервала. Если данных нет, проверьте наличие подготовленного набора и выберите контрольное время 01.06.2025. При несовместимости модели верните штатную пару данных и модели, не отключайте проверки. Если экспорт сообщает об отсутствии результата, сначала завершите расчёт соответствующего режима.</w:t>
      </w:r>
    </w:p>
    <w:p>
      <w:pPr>
        <w:spacing w:after="60" w:line="240" w:lineRule="auto"/>
      </w:pPr>
      <w:r>
        <w:t xml:space="preserve">Пустое поле action-артефакта, отсутствие промышленной оценки надёжности и проверка только серы в Hybrid являются ограничениями поставки. Их нельзя устранить выбором другой кнопки. При ошибке самого запуска сохраните </w:t>
      </w:r>
      <w:r>
        <w:rPr>
          <w:rFonts w:ascii="Consolas" w:hAnsi="Consolas"/>
          <w:sz w:val="19"/>
        </w:rPr>
        <w:t>startup-error.log</w:t>
      </w:r>
      <w:r>
        <w:t>, проверьте полную распаковку и права записи; не отключайте защиту Windows ради демонстрации.</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Нефтекод — описание решения для жюри</dc:title>
  <dc:subject/>
  <dc:creator>Команда Нефтекод</dc:creator>
  <cp:keywords/>
  <dc:description>generated by python-docx</dc:description>
  <cp:lastModifiedBy/>
  <cp:revision>1</cp:revision>
  <dcterms:created xsi:type="dcterms:W3CDTF">2013-12-23T23:15:00Z</dcterms:created>
  <dcterms:modified xsi:type="dcterms:W3CDTF">2013-12-23T23:15:00Z</dcterms:modified>
  <cp:category/>
</cp:coreProperties>
</file>