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武警定位模组项目网关与后台通信协议规范</w:t>
      </w:r>
    </w:p>
    <w:p>
      <w:pPr>
        <w:pStyle w:val="6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V1.0 武警版）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hint="eastAsia" w:ascii="Arial" w:hAnsi="Arial" w:eastAsia="宋体"/>
          <w:sz w:val="22"/>
          <w:szCs w:val="22"/>
          <w:lang w:val="en-US" w:eastAsia="zh-CN"/>
        </w:rPr>
      </w:pPr>
      <w:r>
        <w:rPr>
          <w:rFonts w:hint="eastAsia" w:ascii="Arial" w:hAnsi="Arial" w:eastAsia="宋体"/>
          <w:sz w:val="22"/>
          <w:szCs w:val="22"/>
          <w:lang w:val="en-US" w:eastAsia="zh-CN"/>
        </w:rPr>
        <w:t>2018-10-22 发布                                         2018-10-22实施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  <w:r>
        <w:rPr>
          <w:rFonts w:ascii="Arial" w:hAnsi="Arial" w:eastAsia="宋体"/>
          <w:sz w:val="22"/>
          <w:szCs w:val="22"/>
          <w:lang w:eastAsia="zh-CN"/>
        </w:rPr>
        <w:t>文档变更控制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812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版本</w:t>
            </w:r>
          </w:p>
        </w:tc>
        <w:tc>
          <w:tcPr>
            <w:tcW w:w="581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描述</w:t>
            </w:r>
          </w:p>
        </w:tc>
        <w:tc>
          <w:tcPr>
            <w:tcW w:w="1418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日期</w:t>
            </w:r>
          </w:p>
        </w:tc>
        <w:tc>
          <w:tcPr>
            <w:tcW w:w="184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V1.0</w:t>
            </w: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初稿</w:t>
            </w:r>
          </w:p>
        </w:tc>
        <w:tc>
          <w:tcPr>
            <w:tcW w:w="1418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2018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1015</w:t>
            </w:r>
          </w:p>
        </w:tc>
        <w:tc>
          <w:tcPr>
            <w:tcW w:w="1842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罗承聪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pStyle w:val="7"/>
              <w:ind w:left="360" w:firstLine="0" w:firstLineChars="0"/>
              <w:rPr>
                <w:sz w:val="20"/>
                <w:szCs w:val="22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接口协议组成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报文结构定义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协议使用说明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交互协议说明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5.1授权信息协议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5.1.1应用场景</w:t>
      </w:r>
    </w:p>
    <w:p>
      <w:pPr>
        <w:spacing w:after="1"/>
        <w:ind w:left="-5" w:leftChars="-2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随行设备成功出库后，随行设备与鉴权服务器连接时，可以申请授权码，然后鉴权服务器下发授权码。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5.1.2申请报文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数据流向：随行设备→授权服务器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/>
          <w:b w:val="0"/>
          <w:bCs w:val="0"/>
          <w:sz w:val="21"/>
          <w:szCs w:val="21"/>
        </w:rPr>
        <w:t>lo: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/>
          <w:b w:val="0"/>
          <w:bCs w:val="0"/>
          <w:sz w:val="21"/>
          <w:szCs w:val="21"/>
        </w:rPr>
        <w:t>la: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格式版本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时间格式+4位循环数</w:t>
            </w:r>
          </w:p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时间格式：</w:t>
            </w:r>
            <w:r>
              <w:rPr>
                <w:rFonts w:ascii="Calibri" w:hAnsi="Calibri" w:eastAsia="宋体"/>
                <w:sz w:val="24"/>
              </w:rPr>
              <w:t>yyyyMMddHHmmss</w:t>
            </w:r>
          </w:p>
          <w:p>
            <w:r>
              <w:rPr>
                <w:rFonts w:hint="eastAsia" w:ascii="Calibri" w:hAnsi="Calibri" w:eastAsia="宋体"/>
                <w:sz w:val="24"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01:申请报文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报文消息体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color w:val="FF0000"/>
                <w:sz w:val="24"/>
              </w:rPr>
              <w:t>[</w:t>
            </w:r>
            <w:r>
              <w:rPr>
                <w:rFonts w:hint="eastAsia" w:ascii="Calibri" w:hAnsi="Calibri" w:eastAsia="宋体"/>
                <w:color w:val="FF0000"/>
                <w:sz w:val="24"/>
                <w:lang w:val="en-US" w:eastAsia="zh-CN"/>
              </w:rPr>
              <w:t>IMEI号</w:t>
            </w:r>
            <w:r>
              <w:rPr>
                <w:rFonts w:hint="eastAsia" w:ascii="Calibri" w:hAnsi="Calibri" w:eastAsia="宋体"/>
                <w:color w:val="FF0000"/>
                <w:sz w:val="24"/>
              </w:rPr>
              <w:t>；经度；纬度]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IMEI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国际移动设备识别码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lo:经度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la:纬度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发报时间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color w:val="FF0000"/>
                <w:sz w:val="24"/>
              </w:rPr>
            </w:pPr>
            <w:r>
              <w:rPr>
                <w:rFonts w:ascii="Calibri" w:hAnsi="Calibri" w:eastAsia="宋体"/>
                <w:sz w:val="24"/>
              </w:rPr>
              <w:t>yyyyMMddHHmmss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</w:p>
        </w:tc>
        <w:tc>
          <w:tcPr>
            <w:tcW w:w="1705" w:type="dxa"/>
          </w:tcPr>
          <w:p/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数据流向：授权服务器→随行设备。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zh-CN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02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             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;ip: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;port: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tbl>
      <w:tblPr>
        <w:tblStyle w:val="5"/>
        <w:tblpPr w:leftFromText="180" w:rightFromText="180" w:vertAnchor="text" w:horzAnchor="page" w:tblpX="1779" w:tblpY="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02:响应报文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；授权码；</w:t>
            </w:r>
            <w:r>
              <w:rPr>
                <w:rFonts w:hint="eastAsia"/>
                <w:b/>
                <w:bCs/>
                <w:lang w:val="en-US" w:eastAsia="zh-CN"/>
              </w:rPr>
              <w:t>IP;PORT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状态：0—成功 1—异常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授权码：服务器根据IMEI信息，计算并生成。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IP与端口：随</w:t>
            </w:r>
            <w:r>
              <w:rPr>
                <w:rFonts w:hint="eastAsia"/>
                <w:b/>
                <w:bCs/>
              </w:rPr>
              <w:t>行设备后续交互的数据服务器信息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5.1.4约束条件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随行设备通过域名，访问授权服务器，获取授权码、IP、端口。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随行设备授权完毕，等待数据服务器推送指令等。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本次暂不处理授权码，默认为8个0；IP与端口为后台的IP与端口。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5.2随行设备注册协议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随行设备注册时，随行设备将设备基本信息（腕表MAC；IMEI号；手机号）自动推送给一体机，注册到枪支监管系统中，一体机自动给随行设备返回随行设备可读识别号。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watchMac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;phone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[腕表MAC；IMEI号；手机号]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;readableCode: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rFonts w:hint="eastAsia"/>
                <w:b/>
                <w:bCs/>
                <w:lang w:eastAsia="zh-CN"/>
              </w:rPr>
              <w:t>可读识别号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0成功 1失败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readableCodel可读识别号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（1）随行设备通过2.4G无线数传（wifi）方式，访问一体机。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（2）随行设备可以优先通过2.4G数传与一体机建立连接，上传或下发注册信息，如果发现2.4G数传连接不成功时，可以通过4G网络进行注册。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（3）以上的处理方式是当无线数传模块失效时，可以通过4G网络进行数据传输。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5.3随行设别与枪支绑定协议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一体机将与随行设备绑定的枪支和人员信息推送到随行设备中。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;gunModel: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[人员；枪类型；枪号；枪型；枪支MAC；……]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可绑定多只枪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枪类型：手枪或步枪、冲锋枪、防暴枪等文字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……： 要绑定的其他枪支的信息（枪类型，枪号；枪型；枪支MAC）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gunType:枪类型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gunModel:枪支型号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gunMac:枪支设备蓝牙编号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6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0成功1异常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（1）一体机在注册界面中，通过可读识别号选择要绑定的腕表和要绑定的枪支信息，点击注册，将相关信息传给随行设备。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（2）腕表注册后警员信息显示处显示可识度编号，当有人员信息推送后，显示人员姓名；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（3）如果有人员信息为空，则腕表警员显示项目还是显示原来的可读识别号。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5.4随行设备出库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为了提高出库效率，在未经过门式读写器时即进行枪支与腕表的绑定。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领用时，腕表拿起，弹框提示是否领用，点击确定，腕表开始扫描与其绑定的枪支蓝牙。出库时，门式机采集枪支信息传给一体机，一体机自动将枪支信息下发给绑定的腕表，收到腕表响应报文后，确定出库完成。如果军械员在确认出库前取消领用的枪支记录，或枪支放回智能枪柜，页面自动取消枪支，一体机给腕表自动下发撤销命令，腕表与相关枪支解绑，将解绑信息的响应报文上传给一体机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5.4.2申请报文</w:t>
      </w:r>
    </w:p>
    <w:p>
      <w:pPr>
        <w:pStyle w:val="7"/>
        <w:numPr>
          <w:ilvl w:val="0"/>
          <w:numId w:val="5"/>
        </w:numPr>
        <w:ind w:left="1260" w:leftChars="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下发领用枪支信息指令</w:t>
      </w:r>
    </w:p>
    <w:p>
      <w:pPr>
        <w:ind w:firstLine="840" w:firstLineChars="35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数据流向：一体机→随行设备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{reserve: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;username: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;begintime: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;returnTime: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7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[1；人员姓名；人员编号；枪号；枪支MAC；领用开始时间、归还截止时间]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预留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username:人员姓名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userId:人员编号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begintime:领用开始时间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returnTime:归还截止时间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</w:rPr>
              <w:t>；枪号；枪支MAC]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1成功0失败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5.4.4约束条件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5.5下发撤销枪支信息的指令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如果军械员在确认出库前取消领用的枪支记录，或枪支放回智能枪柜，页面自动取消该枪支记录，一体机给腕表自动下发撤销命令，腕表与相关枪支解绑，将解绑信息的响应报文上传给一体机。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0" w:name="OLE_LINK1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;cancelTime: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0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[枪号；撤销时间]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cancelTime:撤销时间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state：1撤销成功0撤销失败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5.5.4约束条件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5.6枪支入库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入库时，门式机将入库枪支信息传给一体机，一体机自动将入库枪支信息及腕表入库状态下发给腕表，腕表收到信息后，断开与相应枪支的连接，直到最后一支枪支解绑后，并显示确认腕表入库的提示框，由人员按确认入库后，按确认按钮，更改腕表的入库状态，如果人员没有按确认时，收到撤销入库命令后，确认界面自动消失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枪号；腕表入库状态]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gunId:入库的枪支信息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state：腕表入库状态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[1/0；授权码]    成功/失败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state:1成功0失败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authCode：授权码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1、腕表接收一体机推送的入库枪支信息后，将入库的枪支解绑，枪支全部解绑后，一体机给腕表下发入库指令，腕表弹出确认入库的提示窗，点击确定后腕表入库。腕表页面改为出库页面。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5.7撤销枪支入库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军械员在一体机上未点击枪支确认归还时，随行设备收到撤销枪支入库命令时，自动将随行设备与原枪支进行绑定。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1" w:name="OLE_LINK2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1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[枪号；枪支MAC；腕表入库状态]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state:腕表的入库状态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14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1/0;授权码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state:1撤销成功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0撤销失败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 约束条件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5.8随行状态上报周期数据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枪支与腕表在库室外随行时，腕表定时向后台上报随行设备位置、枪支MAC与枪号等信息。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,appBatteryPower: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 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;realTimeState: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;exceptionCode: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腕表出入库状态；设备类型；经度；纬度；小区代码；随行设备电量；枪号；随行状态；定位模组电量；……；异常事件；授权码]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1、出入库状态：0—出库标示1—入库标示；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2、……：多支枪的信息（枪号；随行状态；定位模组电量）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3、定位模组电量：电量可以为空，期间每半小时采集一次。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4、基站定位，经纬度可为空。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5：异常事件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1—无异常事件、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2—绑定枪支MAC失败、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3—读取枪支参数失败、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4—设置枪支参数失败、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5—更新枪支驱动失败、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6—读取射弹计数失败、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7—设置枪支射弹计数失败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8—其他异常事件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若随行设备无异常事件发生，则异常事件值为1；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若随行设备有异常事件发生，则异常事件值为2—8；后续可增加异常事件类型值。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state:腕表出入库状态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areaCode:小区代码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appBatteryPower：随行设备电量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realTimeState:枪支随行状态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:定位模组电量；。。。。；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exceptionCode:异常事件码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5.8.3响应条件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serviceType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 xml:space="preserve">0/1；授权码]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 1—上传成功 0—数据异常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state:1上传成功0数据异常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1、随行设备或腕表定时向服务器上传周期上报数据；同时接收服务器返回的上传结果。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2、随行设备GPS无法实现定位，采用上次定位信息。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5.9定位模组上报周期数据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5.9.1实现场景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5.9.2申请报文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5.9.3响应报文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5.9.4约束条件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5.10枪支查找启停控制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5.10.1实现场景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5.10.2申请报文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5.10.3响应报文</w:t>
      </w:r>
      <w:bookmarkStart w:id="2" w:name="_GoBack"/>
      <w:bookmarkEnd w:id="2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5.10.4约束条件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5.11协助查找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5.11.1实现场景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5.11.2申请报文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5.11.3响应报文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5.11.4约束条件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5.12上报射弹计数信息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5.12.1实现场景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5.12.2申请报文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5.12.3响应报文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5.12.4约束条件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5.13读取累计射弹计数信息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5.13.1实现场景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5.13.2申请报文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5.13.3响应报文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5.13.4约束条件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5.14参数设置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5.14.1实现场景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5.14.2申请报文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5.14.3响应报文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5.14.4约束条件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8D08"/>
    <w:multiLevelType w:val="multilevel"/>
    <w:tmpl w:val="F0878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8579AE"/>
    <w:multiLevelType w:val="singleLevel"/>
    <w:tmpl w:val="1A8579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BF9FD76"/>
    <w:multiLevelType w:val="singleLevel"/>
    <w:tmpl w:val="4BF9FD7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64415B8"/>
    <w:multiLevelType w:val="singleLevel"/>
    <w:tmpl w:val="664415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A281D9A"/>
    <w:multiLevelType w:val="multilevel"/>
    <w:tmpl w:val="7A281D9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0A2C"/>
    <w:rsid w:val="01AA0C11"/>
    <w:rsid w:val="03E10524"/>
    <w:rsid w:val="069D433A"/>
    <w:rsid w:val="083A6832"/>
    <w:rsid w:val="0871024D"/>
    <w:rsid w:val="09017357"/>
    <w:rsid w:val="0B8A50D1"/>
    <w:rsid w:val="0DA478AB"/>
    <w:rsid w:val="10B47A39"/>
    <w:rsid w:val="10B66794"/>
    <w:rsid w:val="10D67BD7"/>
    <w:rsid w:val="17A57B90"/>
    <w:rsid w:val="181E737F"/>
    <w:rsid w:val="1938340F"/>
    <w:rsid w:val="1E537E04"/>
    <w:rsid w:val="205A4B9C"/>
    <w:rsid w:val="26F76C15"/>
    <w:rsid w:val="2EB86897"/>
    <w:rsid w:val="34BF4F0A"/>
    <w:rsid w:val="3A8A70F8"/>
    <w:rsid w:val="3E2231F1"/>
    <w:rsid w:val="3E2829A9"/>
    <w:rsid w:val="3F422395"/>
    <w:rsid w:val="3FDF4AB1"/>
    <w:rsid w:val="400F1626"/>
    <w:rsid w:val="405F1780"/>
    <w:rsid w:val="41996D4D"/>
    <w:rsid w:val="4200125F"/>
    <w:rsid w:val="42FD0908"/>
    <w:rsid w:val="43BF4595"/>
    <w:rsid w:val="45C1643C"/>
    <w:rsid w:val="46D71DAB"/>
    <w:rsid w:val="47D63D16"/>
    <w:rsid w:val="495F18D4"/>
    <w:rsid w:val="4C35657C"/>
    <w:rsid w:val="4D24661C"/>
    <w:rsid w:val="4E9C1689"/>
    <w:rsid w:val="4EFA7F98"/>
    <w:rsid w:val="50DA1A88"/>
    <w:rsid w:val="53981B84"/>
    <w:rsid w:val="55C8017B"/>
    <w:rsid w:val="5EF23EF5"/>
    <w:rsid w:val="5F7826D0"/>
    <w:rsid w:val="606B350B"/>
    <w:rsid w:val="60B2768A"/>
    <w:rsid w:val="640D5256"/>
    <w:rsid w:val="6488204C"/>
    <w:rsid w:val="65961990"/>
    <w:rsid w:val="6D1D03E9"/>
    <w:rsid w:val="6EA600A7"/>
    <w:rsid w:val="6F957763"/>
    <w:rsid w:val="74665697"/>
    <w:rsid w:val="75B661F1"/>
    <w:rsid w:val="77093281"/>
    <w:rsid w:val="7A0A4915"/>
    <w:rsid w:val="7D07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3"/>
    <w:qFormat/>
    <w:uiPriority w:val="0"/>
    <w:pPr>
      <w:snapToGrid w:val="0"/>
      <w:spacing w:before="120" w:after="120" w:line="400" w:lineRule="exact"/>
      <w:ind w:right="29"/>
    </w:pPr>
    <w:rPr>
      <w:rFonts w:ascii="华文楷体" w:hAnsi="华文楷体" w:eastAsia="华文楷体" w:cs="宋体"/>
      <w:kern w:val="0"/>
      <w:sz w:val="28"/>
      <w:szCs w:val="20"/>
      <w:lang w:val="en-US" w:eastAsia="en-US" w:bidi="ar-SA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 w:eastAsia="宋体" w:cs="Times New Roman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lcc</dc:creator>
  <cp:lastModifiedBy>lcc</cp:lastModifiedBy>
  <dcterms:modified xsi:type="dcterms:W3CDTF">2018-10-22T09:29:19Z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